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01995" w14:textId="77777777" w:rsidR="00E36F61" w:rsidRPr="00AF2E13" w:rsidRDefault="00E36F61" w:rsidP="00F27806">
      <w:pPr>
        <w:pStyle w:val="Heading1"/>
        <w:spacing w:before="120" w:line="360" w:lineRule="auto"/>
        <w:jc w:val="center"/>
        <w:rPr>
          <w:sz w:val="40"/>
          <w:lang w:val="en-GB"/>
        </w:rPr>
      </w:pPr>
      <w:r w:rsidRPr="00AF2E13">
        <w:rPr>
          <w:sz w:val="40"/>
          <w:lang w:val="en-GB"/>
        </w:rPr>
        <w:t>Where Cities Fail to Triumph:</w:t>
      </w:r>
    </w:p>
    <w:p w14:paraId="225270E7" w14:textId="77777777" w:rsidR="00E36F61" w:rsidRPr="00AF2E13" w:rsidRDefault="00E36F61" w:rsidP="00F27806">
      <w:pPr>
        <w:pStyle w:val="Heading1"/>
        <w:spacing w:before="120" w:line="360" w:lineRule="auto"/>
        <w:jc w:val="center"/>
        <w:rPr>
          <w:sz w:val="40"/>
          <w:lang w:val="en-GB"/>
        </w:rPr>
      </w:pPr>
      <w:r w:rsidRPr="00AF2E13">
        <w:rPr>
          <w:sz w:val="40"/>
          <w:lang w:val="en-GB"/>
        </w:rPr>
        <w:t>The Impact of Urban Location and Local Collaboration on Innovation in Norway</w:t>
      </w:r>
    </w:p>
    <w:p w14:paraId="175A5017" w14:textId="77777777" w:rsidR="005E6822" w:rsidRDefault="005E6822" w:rsidP="005E6822">
      <w:pPr>
        <w:rPr>
          <w:lang w:val="en-GB"/>
        </w:rPr>
      </w:pPr>
    </w:p>
    <w:p w14:paraId="740A5373" w14:textId="77777777" w:rsidR="005E6822" w:rsidRDefault="005E6822" w:rsidP="005E6822">
      <w:pPr>
        <w:pStyle w:val="Heading1"/>
        <w:spacing w:before="120" w:line="360" w:lineRule="auto"/>
        <w:jc w:val="center"/>
        <w:rPr>
          <w:lang w:val="en-GB"/>
        </w:rPr>
      </w:pPr>
    </w:p>
    <w:p w14:paraId="7EBF3F7E" w14:textId="5BE65042" w:rsidR="005E6822" w:rsidRPr="00AF2E13" w:rsidRDefault="00AF2E13" w:rsidP="005E6822">
      <w:pPr>
        <w:pStyle w:val="Heading1"/>
        <w:spacing w:before="120" w:line="360" w:lineRule="auto"/>
        <w:jc w:val="center"/>
        <w:rPr>
          <w:lang w:val="en-GB"/>
        </w:rPr>
      </w:pPr>
      <w:r w:rsidRPr="00AF2E13">
        <w:rPr>
          <w:lang w:val="en-GB"/>
        </w:rPr>
        <w:t>b</w:t>
      </w:r>
      <w:r w:rsidR="005E6822" w:rsidRPr="00AF2E13">
        <w:rPr>
          <w:lang w:val="en-GB"/>
        </w:rPr>
        <w:t>y</w:t>
      </w:r>
    </w:p>
    <w:p w14:paraId="466F5EC9" w14:textId="77777777" w:rsidR="005E6822" w:rsidRPr="00AF2E13" w:rsidRDefault="005E6822" w:rsidP="005E6822">
      <w:pPr>
        <w:rPr>
          <w:sz w:val="28"/>
          <w:lang w:val="en-GB"/>
        </w:rPr>
      </w:pPr>
    </w:p>
    <w:p w14:paraId="2DA1D503" w14:textId="77777777" w:rsidR="00AF2E13" w:rsidRPr="00AF2E13" w:rsidRDefault="00AF2E13" w:rsidP="005E6822">
      <w:pPr>
        <w:pStyle w:val="Heading1"/>
        <w:spacing w:before="120" w:line="360" w:lineRule="auto"/>
        <w:jc w:val="center"/>
        <w:rPr>
          <w:lang w:val="en-GB"/>
        </w:rPr>
      </w:pPr>
    </w:p>
    <w:p w14:paraId="6408B8DD" w14:textId="2FAC85FF" w:rsidR="005E6822" w:rsidRPr="00AF2E13" w:rsidRDefault="005E6822" w:rsidP="005E6822">
      <w:pPr>
        <w:pStyle w:val="Heading1"/>
        <w:spacing w:before="120" w:line="360" w:lineRule="auto"/>
        <w:jc w:val="center"/>
        <w:rPr>
          <w:vertAlign w:val="superscript"/>
          <w:lang w:val="en-GB"/>
        </w:rPr>
      </w:pPr>
      <w:r w:rsidRPr="00AF2E13">
        <w:rPr>
          <w:lang w:val="en-GB"/>
        </w:rPr>
        <w:t>Rune Dahl Fitjar</w:t>
      </w:r>
      <w:r w:rsidRPr="00AF2E13">
        <w:rPr>
          <w:vertAlign w:val="superscript"/>
          <w:lang w:val="en-GB"/>
        </w:rPr>
        <w:t>1</w:t>
      </w:r>
      <w:r w:rsidRPr="00AF2E13">
        <w:rPr>
          <w:lang w:val="en-GB"/>
        </w:rPr>
        <w:t xml:space="preserve"> and Andrés Rodríguez-Pose</w:t>
      </w:r>
      <w:r w:rsidRPr="00AF2E13">
        <w:rPr>
          <w:vertAlign w:val="superscript"/>
          <w:lang w:val="en-GB"/>
        </w:rPr>
        <w:t>2§</w:t>
      </w:r>
    </w:p>
    <w:p w14:paraId="691A6E15" w14:textId="77777777" w:rsidR="005E6822" w:rsidRDefault="005E6822" w:rsidP="005E6822">
      <w:pPr>
        <w:rPr>
          <w:lang w:val="en-GB"/>
        </w:rPr>
      </w:pPr>
    </w:p>
    <w:p w14:paraId="4A833E54" w14:textId="77777777" w:rsidR="005E6822" w:rsidRPr="005E6822" w:rsidRDefault="005E6822" w:rsidP="005E6822">
      <w:pPr>
        <w:rPr>
          <w:lang w:val="en-GB"/>
        </w:rPr>
      </w:pPr>
    </w:p>
    <w:p w14:paraId="379E9422" w14:textId="607D76E7" w:rsidR="00CB606E" w:rsidRDefault="00CB606E" w:rsidP="00F27806">
      <w:pPr>
        <w:spacing w:line="480" w:lineRule="auto"/>
        <w:jc w:val="left"/>
        <w:rPr>
          <w:b/>
          <w:lang w:val="en-GB"/>
        </w:rPr>
      </w:pPr>
    </w:p>
    <w:p w14:paraId="3475902F" w14:textId="77777777" w:rsidR="00AF2E13" w:rsidRDefault="00AF2E13" w:rsidP="00F27806">
      <w:pPr>
        <w:spacing w:line="480" w:lineRule="auto"/>
        <w:jc w:val="left"/>
        <w:rPr>
          <w:b/>
          <w:lang w:val="en-GB"/>
        </w:rPr>
      </w:pPr>
    </w:p>
    <w:p w14:paraId="1D29287A" w14:textId="0AB41284" w:rsidR="00AF2E13" w:rsidRDefault="00AF2E13" w:rsidP="00F27806">
      <w:pPr>
        <w:spacing w:line="480" w:lineRule="auto"/>
        <w:jc w:val="left"/>
        <w:rPr>
          <w:b/>
          <w:lang w:val="en-GB"/>
        </w:rPr>
      </w:pPr>
      <w:r>
        <w:rPr>
          <w:b/>
          <w:lang w:val="en-GB"/>
        </w:rPr>
        <w:t>_____________</w:t>
      </w:r>
    </w:p>
    <w:p w14:paraId="71437563" w14:textId="37E42515" w:rsidR="00CB606E" w:rsidRPr="005E6822" w:rsidRDefault="005E6822" w:rsidP="005E6822">
      <w:pPr>
        <w:spacing w:line="240" w:lineRule="auto"/>
        <w:jc w:val="left"/>
        <w:rPr>
          <w:lang w:val="en-GB"/>
        </w:rPr>
      </w:pPr>
      <w:r>
        <w:rPr>
          <w:vertAlign w:val="superscript"/>
          <w:lang w:val="en-GB"/>
        </w:rPr>
        <w:t xml:space="preserve">1 </w:t>
      </w:r>
      <w:proofErr w:type="spellStart"/>
      <w:r w:rsidR="00CB606E">
        <w:rPr>
          <w:lang w:val="en-GB"/>
        </w:rPr>
        <w:t>UiS</w:t>
      </w:r>
      <w:proofErr w:type="spellEnd"/>
      <w:r w:rsidR="00CB606E">
        <w:rPr>
          <w:lang w:val="en-GB"/>
        </w:rPr>
        <w:t xml:space="preserve"> Business School</w:t>
      </w:r>
      <w:r>
        <w:rPr>
          <w:lang w:val="en-GB"/>
        </w:rPr>
        <w:t xml:space="preserve">, </w:t>
      </w:r>
      <w:r w:rsidR="00CB606E">
        <w:rPr>
          <w:lang w:val="en-GB"/>
        </w:rPr>
        <w:t>University of Stavanger</w:t>
      </w:r>
      <w:r>
        <w:rPr>
          <w:lang w:val="en-GB"/>
        </w:rPr>
        <w:t xml:space="preserve">, </w:t>
      </w:r>
      <w:r w:rsidR="00CB606E">
        <w:rPr>
          <w:lang w:val="en-GB"/>
        </w:rPr>
        <w:t xml:space="preserve">PO Box 8600 </w:t>
      </w:r>
      <w:proofErr w:type="spellStart"/>
      <w:r w:rsidR="00CB606E">
        <w:rPr>
          <w:lang w:val="en-GB"/>
        </w:rPr>
        <w:t>Forus</w:t>
      </w:r>
      <w:proofErr w:type="spellEnd"/>
      <w:r>
        <w:rPr>
          <w:lang w:val="en-GB"/>
        </w:rPr>
        <w:t xml:space="preserve">, </w:t>
      </w:r>
      <w:r w:rsidR="00CB606E" w:rsidRPr="005E6822">
        <w:rPr>
          <w:lang w:val="en-GB"/>
        </w:rPr>
        <w:t>4036 Stavanger</w:t>
      </w:r>
      <w:r>
        <w:rPr>
          <w:lang w:val="en-GB"/>
        </w:rPr>
        <w:t xml:space="preserve">, </w:t>
      </w:r>
      <w:r w:rsidR="00CB606E" w:rsidRPr="005E6822">
        <w:rPr>
          <w:lang w:val="en-GB"/>
        </w:rPr>
        <w:t>Norway</w:t>
      </w:r>
      <w:r>
        <w:rPr>
          <w:lang w:val="en-GB"/>
        </w:rPr>
        <w:t xml:space="preserve">. </w:t>
      </w:r>
      <w:r w:rsidR="00CB606E" w:rsidRPr="005E6822">
        <w:rPr>
          <w:lang w:val="en-GB"/>
        </w:rPr>
        <w:t xml:space="preserve">e-mail: </w:t>
      </w:r>
      <w:hyperlink r:id="rId9" w:history="1">
        <w:r w:rsidR="00CB606E" w:rsidRPr="005E6822">
          <w:rPr>
            <w:rStyle w:val="Hyperlink"/>
            <w:lang w:val="en-GB"/>
          </w:rPr>
          <w:t>rune.d.fitjar@uis.no</w:t>
        </w:r>
      </w:hyperlink>
    </w:p>
    <w:p w14:paraId="0043F9AA" w14:textId="13269B7C" w:rsidR="00CB606E" w:rsidRPr="005E6822" w:rsidRDefault="00CB606E" w:rsidP="00F27806">
      <w:pPr>
        <w:spacing w:line="480" w:lineRule="auto"/>
        <w:jc w:val="left"/>
        <w:rPr>
          <w:lang w:val="en-GB"/>
        </w:rPr>
      </w:pPr>
    </w:p>
    <w:p w14:paraId="127897A3" w14:textId="7552B762" w:rsidR="00CB606E" w:rsidRPr="00377443" w:rsidRDefault="005E6822" w:rsidP="005E6822">
      <w:pPr>
        <w:spacing w:line="240" w:lineRule="auto"/>
        <w:jc w:val="left"/>
        <w:rPr>
          <w:rStyle w:val="Hyperlink"/>
          <w:lang w:val="en-GB"/>
        </w:rPr>
      </w:pPr>
      <w:r>
        <w:rPr>
          <w:vertAlign w:val="superscript"/>
          <w:lang w:val="en-GB"/>
        </w:rPr>
        <w:t xml:space="preserve">2 </w:t>
      </w:r>
      <w:r w:rsidR="00CB606E">
        <w:rPr>
          <w:lang w:val="en-GB"/>
        </w:rPr>
        <w:t>Department of Geography and Environment</w:t>
      </w:r>
      <w:r>
        <w:rPr>
          <w:lang w:val="en-GB"/>
        </w:rPr>
        <w:t xml:space="preserve">, </w:t>
      </w:r>
      <w:r w:rsidR="00CB606E">
        <w:rPr>
          <w:lang w:val="en-GB"/>
        </w:rPr>
        <w:t>London School of Economics and Political Science</w:t>
      </w:r>
      <w:r>
        <w:rPr>
          <w:lang w:val="en-GB"/>
        </w:rPr>
        <w:t xml:space="preserve">, </w:t>
      </w:r>
      <w:r w:rsidR="00CB606E">
        <w:rPr>
          <w:lang w:val="en-GB"/>
        </w:rPr>
        <w:t>Houghton Street</w:t>
      </w:r>
      <w:r>
        <w:rPr>
          <w:lang w:val="en-GB"/>
        </w:rPr>
        <w:t xml:space="preserve">, </w:t>
      </w:r>
      <w:r w:rsidR="00CB606E">
        <w:rPr>
          <w:lang w:val="en-GB"/>
        </w:rPr>
        <w:t>London WC2A 2AE</w:t>
      </w:r>
      <w:r>
        <w:rPr>
          <w:lang w:val="en-GB"/>
        </w:rPr>
        <w:t xml:space="preserve">, </w:t>
      </w:r>
      <w:r w:rsidR="00CB606E">
        <w:rPr>
          <w:lang w:val="en-GB"/>
        </w:rPr>
        <w:t>United Kingdom</w:t>
      </w:r>
      <w:r>
        <w:rPr>
          <w:lang w:val="en-GB"/>
        </w:rPr>
        <w:t xml:space="preserve">. </w:t>
      </w:r>
      <w:r w:rsidR="00CB606E" w:rsidRPr="005E6822">
        <w:rPr>
          <w:lang w:val="en-GB"/>
        </w:rPr>
        <w:t xml:space="preserve">e-mail: </w:t>
      </w:r>
      <w:hyperlink r:id="rId10" w:history="1">
        <w:r w:rsidR="00CB606E" w:rsidRPr="005E6822">
          <w:rPr>
            <w:rStyle w:val="Hyperlink"/>
            <w:lang w:val="en-GB"/>
          </w:rPr>
          <w:t>a.rodriguez-pose@lse.ac.uk</w:t>
        </w:r>
      </w:hyperlink>
    </w:p>
    <w:p w14:paraId="74686140" w14:textId="77777777" w:rsidR="005E6822" w:rsidRPr="005E6822" w:rsidRDefault="005E6822" w:rsidP="005E6822">
      <w:pPr>
        <w:spacing w:line="240" w:lineRule="auto"/>
        <w:jc w:val="left"/>
        <w:rPr>
          <w:lang w:val="en-GB"/>
        </w:rPr>
      </w:pPr>
    </w:p>
    <w:p w14:paraId="09D35B11" w14:textId="543E484C" w:rsidR="00CB606E" w:rsidRPr="005E6822" w:rsidRDefault="005E6822" w:rsidP="00F27806">
      <w:pPr>
        <w:spacing w:line="480" w:lineRule="auto"/>
        <w:jc w:val="left"/>
        <w:rPr>
          <w:lang w:val="en-GB"/>
        </w:rPr>
      </w:pPr>
      <w:r w:rsidRPr="005E6822">
        <w:rPr>
          <w:vertAlign w:val="superscript"/>
          <w:lang w:val="en-GB"/>
        </w:rPr>
        <w:t>§</w:t>
      </w:r>
      <w:r>
        <w:rPr>
          <w:lang w:val="en-GB"/>
        </w:rPr>
        <w:t xml:space="preserve"> Corresponding author</w:t>
      </w:r>
    </w:p>
    <w:p w14:paraId="1F17F171" w14:textId="77777777" w:rsidR="005E6822" w:rsidRDefault="005E6822">
      <w:pPr>
        <w:spacing w:after="0" w:line="240" w:lineRule="auto"/>
        <w:jc w:val="left"/>
        <w:rPr>
          <w:b/>
          <w:lang w:val="en-GB"/>
        </w:rPr>
      </w:pPr>
      <w:r>
        <w:rPr>
          <w:b/>
          <w:lang w:val="en-GB"/>
        </w:rPr>
        <w:br w:type="page"/>
      </w:r>
    </w:p>
    <w:p w14:paraId="1C34648D" w14:textId="6E5584DD" w:rsidR="005E6822" w:rsidRPr="005E6822" w:rsidRDefault="005E6822" w:rsidP="005E6822">
      <w:pPr>
        <w:pStyle w:val="Heading1"/>
        <w:spacing w:before="120" w:line="360" w:lineRule="auto"/>
        <w:jc w:val="center"/>
        <w:rPr>
          <w:sz w:val="28"/>
          <w:lang w:val="en-GB"/>
        </w:rPr>
      </w:pPr>
      <w:r w:rsidRPr="005E6822">
        <w:rPr>
          <w:sz w:val="28"/>
          <w:lang w:val="en-GB"/>
        </w:rPr>
        <w:lastRenderedPageBreak/>
        <w:t>Where Cities Fail to Triumph:</w:t>
      </w:r>
      <w:r>
        <w:rPr>
          <w:sz w:val="28"/>
          <w:lang w:val="en-GB"/>
        </w:rPr>
        <w:t xml:space="preserve"> </w:t>
      </w:r>
      <w:r w:rsidRPr="005E6822">
        <w:rPr>
          <w:sz w:val="28"/>
          <w:lang w:val="en-GB"/>
        </w:rPr>
        <w:t>The Impact of Urban Location and Local Collaboration on Innovation in Norway</w:t>
      </w:r>
    </w:p>
    <w:p w14:paraId="372D030D" w14:textId="6367C5B1" w:rsidR="00F27806" w:rsidRPr="000050B8" w:rsidRDefault="00F27806" w:rsidP="00F27806">
      <w:pPr>
        <w:spacing w:line="480" w:lineRule="auto"/>
        <w:jc w:val="left"/>
        <w:rPr>
          <w:b/>
          <w:lang w:val="en-GB"/>
        </w:rPr>
      </w:pPr>
      <w:r w:rsidRPr="000050B8">
        <w:rPr>
          <w:b/>
          <w:lang w:val="en-GB"/>
        </w:rPr>
        <w:t>Abstract:</w:t>
      </w:r>
    </w:p>
    <w:p w14:paraId="54DAE1D6" w14:textId="3994BE97" w:rsidR="00F27806" w:rsidRPr="000050B8" w:rsidRDefault="00F27806" w:rsidP="00F27806">
      <w:pPr>
        <w:spacing w:line="480" w:lineRule="auto"/>
        <w:rPr>
          <w:color w:val="000000"/>
          <w:szCs w:val="24"/>
          <w:shd w:val="clear" w:color="auto" w:fill="FFFFFF"/>
          <w:lang w:val="en-GB"/>
        </w:rPr>
      </w:pPr>
      <w:r w:rsidRPr="000050B8">
        <w:rPr>
          <w:color w:val="000000"/>
          <w:szCs w:val="24"/>
          <w:shd w:val="clear" w:color="auto" w:fill="FFFFFF"/>
          <w:lang w:val="en-GB"/>
        </w:rPr>
        <w:t>The role of cities in fostering innovation has</w:t>
      </w:r>
      <w:r w:rsidR="00557574">
        <w:rPr>
          <w:color w:val="000000"/>
          <w:szCs w:val="24"/>
          <w:shd w:val="clear" w:color="auto" w:fill="FFFFFF"/>
          <w:lang w:val="en-GB"/>
        </w:rPr>
        <w:t xml:space="preserve"> for long</w:t>
      </w:r>
      <w:r w:rsidRPr="000050B8">
        <w:rPr>
          <w:color w:val="000000"/>
          <w:szCs w:val="24"/>
          <w:shd w:val="clear" w:color="auto" w:fill="FFFFFF"/>
          <w:lang w:val="en-GB"/>
        </w:rPr>
        <w:t xml:space="preserve"> been taken for granted. Agglomeration and the knowledge spillovers generated in dense urban environments </w:t>
      </w:r>
      <w:r w:rsidR="00557574">
        <w:rPr>
          <w:color w:val="000000"/>
          <w:szCs w:val="24"/>
          <w:shd w:val="clear" w:color="auto" w:fill="FFFFFF"/>
          <w:lang w:val="en-GB"/>
        </w:rPr>
        <w:t>have been</w:t>
      </w:r>
      <w:r w:rsidRPr="000050B8">
        <w:rPr>
          <w:color w:val="000000"/>
          <w:szCs w:val="24"/>
          <w:shd w:val="clear" w:color="auto" w:fill="FFFFFF"/>
          <w:lang w:val="en-GB"/>
        </w:rPr>
        <w:t xml:space="preserve"> considered fundamental drivers of innovation. This view has, however, become challenged by research </w:t>
      </w:r>
      <w:r w:rsidR="009D333F" w:rsidRPr="000050B8">
        <w:rPr>
          <w:color w:val="000000"/>
          <w:szCs w:val="24"/>
          <w:shd w:val="clear" w:color="auto" w:fill="FFFFFF"/>
          <w:lang w:val="en-GB"/>
        </w:rPr>
        <w:t>question</w:t>
      </w:r>
      <w:r w:rsidR="009D333F">
        <w:rPr>
          <w:color w:val="000000"/>
          <w:szCs w:val="24"/>
          <w:shd w:val="clear" w:color="auto" w:fill="FFFFFF"/>
          <w:lang w:val="en-GB"/>
        </w:rPr>
        <w:t>ing</w:t>
      </w:r>
      <w:r w:rsidR="009D333F" w:rsidRPr="000050B8">
        <w:rPr>
          <w:color w:val="000000"/>
          <w:szCs w:val="24"/>
          <w:shd w:val="clear" w:color="auto" w:fill="FFFFFF"/>
          <w:lang w:val="en-GB"/>
        </w:rPr>
        <w:t xml:space="preserve"> </w:t>
      </w:r>
      <w:r w:rsidRPr="000050B8">
        <w:rPr>
          <w:color w:val="000000"/>
          <w:szCs w:val="24"/>
          <w:shd w:val="clear" w:color="auto" w:fill="FFFFFF"/>
          <w:lang w:val="en-GB"/>
        </w:rPr>
        <w:t xml:space="preserve">the returns </w:t>
      </w:r>
      <w:r w:rsidR="00537D0D">
        <w:rPr>
          <w:color w:val="000000"/>
          <w:szCs w:val="24"/>
          <w:shd w:val="clear" w:color="auto" w:fill="FFFFFF"/>
          <w:lang w:val="en-GB"/>
        </w:rPr>
        <w:t>to</w:t>
      </w:r>
      <w:r w:rsidR="00537D0D" w:rsidRPr="000050B8">
        <w:rPr>
          <w:color w:val="000000"/>
          <w:szCs w:val="24"/>
          <w:shd w:val="clear" w:color="auto" w:fill="FFFFFF"/>
          <w:lang w:val="en-GB"/>
        </w:rPr>
        <w:t xml:space="preserve"> </w:t>
      </w:r>
      <w:r w:rsidRPr="000050B8">
        <w:rPr>
          <w:color w:val="000000"/>
          <w:szCs w:val="24"/>
          <w:shd w:val="clear" w:color="auto" w:fill="FFFFFF"/>
          <w:lang w:val="en-GB"/>
        </w:rPr>
        <w:t>physical agglomeration and local networking</w:t>
      </w:r>
      <w:r w:rsidR="00537D0D">
        <w:rPr>
          <w:color w:val="000000"/>
          <w:szCs w:val="24"/>
          <w:shd w:val="clear" w:color="auto" w:fill="FFFFFF"/>
          <w:lang w:val="en-GB"/>
        </w:rPr>
        <w:t>,</w:t>
      </w:r>
      <w:r w:rsidRPr="000050B8">
        <w:rPr>
          <w:color w:val="000000"/>
          <w:szCs w:val="24"/>
          <w:shd w:val="clear" w:color="auto" w:fill="FFFFFF"/>
          <w:lang w:val="en-GB"/>
        </w:rPr>
        <w:t xml:space="preserve"> plac</w:t>
      </w:r>
      <w:r w:rsidR="00537D0D">
        <w:rPr>
          <w:color w:val="000000"/>
          <w:szCs w:val="24"/>
          <w:shd w:val="clear" w:color="auto" w:fill="FFFFFF"/>
          <w:lang w:val="en-GB"/>
        </w:rPr>
        <w:t>ing</w:t>
      </w:r>
      <w:r w:rsidRPr="000050B8">
        <w:rPr>
          <w:color w:val="000000"/>
          <w:szCs w:val="24"/>
          <w:shd w:val="clear" w:color="auto" w:fill="FFFFFF"/>
          <w:lang w:val="en-GB"/>
        </w:rPr>
        <w:t xml:space="preserve"> </w:t>
      </w:r>
      <w:r w:rsidR="00537D0D">
        <w:rPr>
          <w:color w:val="000000"/>
          <w:szCs w:val="24"/>
          <w:shd w:val="clear" w:color="auto" w:fill="FFFFFF"/>
          <w:lang w:val="en-GB"/>
        </w:rPr>
        <w:t>instead</w:t>
      </w:r>
      <w:r w:rsidR="00537D0D" w:rsidRPr="000050B8">
        <w:rPr>
          <w:color w:val="000000"/>
          <w:szCs w:val="24"/>
          <w:shd w:val="clear" w:color="auto" w:fill="FFFFFF"/>
          <w:lang w:val="en-GB"/>
        </w:rPr>
        <w:t xml:space="preserve"> </w:t>
      </w:r>
      <w:r w:rsidRPr="000050B8">
        <w:rPr>
          <w:color w:val="000000"/>
          <w:szCs w:val="24"/>
          <w:shd w:val="clear" w:color="auto" w:fill="FFFFFF"/>
          <w:lang w:val="en-GB"/>
        </w:rPr>
        <w:t>more emphasis on the importance of</w:t>
      </w:r>
      <w:r w:rsidR="00231C12" w:rsidRPr="000050B8">
        <w:rPr>
          <w:color w:val="000000"/>
          <w:szCs w:val="24"/>
          <w:shd w:val="clear" w:color="auto" w:fill="FFFFFF"/>
          <w:lang w:val="en-GB"/>
        </w:rPr>
        <w:t xml:space="preserve"> inter-regional and</w:t>
      </w:r>
      <w:r w:rsidRPr="000050B8">
        <w:rPr>
          <w:color w:val="000000"/>
          <w:szCs w:val="24"/>
          <w:shd w:val="clear" w:color="auto" w:fill="FFFFFF"/>
          <w:lang w:val="en-GB"/>
        </w:rPr>
        <w:t xml:space="preserve"> international collaboration</w:t>
      </w:r>
      <w:r w:rsidR="00557574">
        <w:rPr>
          <w:color w:val="000000"/>
          <w:szCs w:val="24"/>
          <w:shd w:val="clear" w:color="auto" w:fill="FFFFFF"/>
          <w:lang w:val="en-GB"/>
        </w:rPr>
        <w:t>, and on innovation in peripheral regions</w:t>
      </w:r>
      <w:r w:rsidRPr="000050B8">
        <w:rPr>
          <w:color w:val="000000"/>
          <w:szCs w:val="24"/>
          <w:shd w:val="clear" w:color="auto" w:fill="FFFFFF"/>
          <w:lang w:val="en-GB"/>
        </w:rPr>
        <w:t xml:space="preserve">. This paper delves into the debate on </w:t>
      </w:r>
      <w:r w:rsidR="009D333F">
        <w:rPr>
          <w:color w:val="000000"/>
          <w:szCs w:val="24"/>
          <w:shd w:val="clear" w:color="auto" w:fill="FFFFFF"/>
          <w:lang w:val="en-GB"/>
        </w:rPr>
        <w:t xml:space="preserve">the </w:t>
      </w:r>
      <w:r w:rsidRPr="000050B8">
        <w:rPr>
          <w:color w:val="000000"/>
          <w:szCs w:val="24"/>
          <w:shd w:val="clear" w:color="auto" w:fill="FFFFFF"/>
          <w:lang w:val="en-GB"/>
        </w:rPr>
        <w:t xml:space="preserve">role of cities for innovation by examining the interplay between urban location and local collaboration in Norway. It uses data from the Community Innovation Survey for 2006 to 2010 to map out the geographical dimension of </w:t>
      </w:r>
      <w:r w:rsidR="00E63EA5">
        <w:rPr>
          <w:color w:val="000000"/>
          <w:szCs w:val="24"/>
          <w:shd w:val="clear" w:color="auto" w:fill="FFFFFF"/>
          <w:lang w:val="en-GB"/>
        </w:rPr>
        <w:t>R&amp;D</w:t>
      </w:r>
      <w:r w:rsidRPr="000050B8">
        <w:rPr>
          <w:color w:val="000000"/>
          <w:szCs w:val="24"/>
          <w:shd w:val="clear" w:color="auto" w:fill="FFFFFF"/>
          <w:lang w:val="en-GB"/>
        </w:rPr>
        <w:t xml:space="preserve"> collaboration </w:t>
      </w:r>
      <w:r w:rsidR="00537D0D">
        <w:rPr>
          <w:color w:val="000000"/>
          <w:szCs w:val="24"/>
          <w:shd w:val="clear" w:color="auto" w:fill="FFFFFF"/>
          <w:lang w:val="en-GB"/>
        </w:rPr>
        <w:t>in</w:t>
      </w:r>
      <w:r w:rsidR="00537D0D" w:rsidRPr="000050B8">
        <w:rPr>
          <w:color w:val="000000"/>
          <w:szCs w:val="24"/>
          <w:shd w:val="clear" w:color="auto" w:fill="FFFFFF"/>
          <w:lang w:val="en-GB"/>
        </w:rPr>
        <w:t xml:space="preserve"> </w:t>
      </w:r>
      <w:r w:rsidRPr="000050B8">
        <w:rPr>
          <w:color w:val="000000"/>
          <w:szCs w:val="24"/>
          <w:shd w:val="clear" w:color="auto" w:fill="FFFFFF"/>
          <w:lang w:val="en-GB"/>
        </w:rPr>
        <w:t xml:space="preserve">Norwegian firms with a view to assessing whether different types of </w:t>
      </w:r>
      <w:r w:rsidR="00E63EA5">
        <w:rPr>
          <w:color w:val="000000"/>
          <w:szCs w:val="24"/>
          <w:shd w:val="clear" w:color="auto" w:fill="FFFFFF"/>
          <w:lang w:val="en-GB"/>
        </w:rPr>
        <w:t>R&amp;D</w:t>
      </w:r>
      <w:r w:rsidRPr="000050B8">
        <w:rPr>
          <w:color w:val="000000"/>
          <w:szCs w:val="24"/>
          <w:shd w:val="clear" w:color="auto" w:fill="FFFFFF"/>
          <w:lang w:val="en-GB"/>
        </w:rPr>
        <w:t xml:space="preserve"> collaboration in urban and rural locations affect firm</w:t>
      </w:r>
      <w:r w:rsidR="00537D0D">
        <w:rPr>
          <w:color w:val="000000"/>
          <w:szCs w:val="24"/>
          <w:shd w:val="clear" w:color="auto" w:fill="FFFFFF"/>
          <w:lang w:val="en-GB"/>
        </w:rPr>
        <w:t>s’</w:t>
      </w:r>
      <w:r w:rsidRPr="000050B8">
        <w:rPr>
          <w:color w:val="000000"/>
          <w:szCs w:val="24"/>
          <w:shd w:val="clear" w:color="auto" w:fill="FFFFFF"/>
          <w:lang w:val="en-GB"/>
        </w:rPr>
        <w:t xml:space="preserve"> propensity to innovate. The results show that local collaboration </w:t>
      </w:r>
      <w:r w:rsidR="00FA29EF">
        <w:rPr>
          <w:color w:val="000000"/>
          <w:szCs w:val="24"/>
          <w:shd w:val="clear" w:color="auto" w:fill="FFFFFF"/>
          <w:lang w:val="en-GB"/>
        </w:rPr>
        <w:t>is associated with</w:t>
      </w:r>
      <w:r w:rsidRPr="000050B8">
        <w:rPr>
          <w:color w:val="000000"/>
          <w:szCs w:val="24"/>
          <w:shd w:val="clear" w:color="auto" w:fill="FFFFFF"/>
          <w:lang w:val="en-GB"/>
        </w:rPr>
        <w:t xml:space="preserve"> increased process and organisational innovation, while it does not produce higher levels of product or marketing innovation. Conversely, international collaboration is </w:t>
      </w:r>
      <w:r w:rsidR="00226B32">
        <w:rPr>
          <w:color w:val="000000"/>
          <w:szCs w:val="24"/>
          <w:shd w:val="clear" w:color="auto" w:fill="FFFFFF"/>
          <w:lang w:val="en-GB"/>
        </w:rPr>
        <w:t>connected</w:t>
      </w:r>
      <w:r w:rsidRPr="000050B8">
        <w:rPr>
          <w:color w:val="000000"/>
          <w:szCs w:val="24"/>
          <w:shd w:val="clear" w:color="auto" w:fill="FFFFFF"/>
          <w:lang w:val="en-GB"/>
        </w:rPr>
        <w:t xml:space="preserve"> with higher probabilities of product, new-to-market and marketing innovations. Furthermore, location in urban </w:t>
      </w:r>
      <w:r w:rsidR="009D333F">
        <w:rPr>
          <w:color w:val="000000"/>
          <w:szCs w:val="24"/>
          <w:shd w:val="clear" w:color="auto" w:fill="FFFFFF"/>
          <w:lang w:val="en-GB"/>
        </w:rPr>
        <w:t>or</w:t>
      </w:r>
      <w:r w:rsidR="009D333F" w:rsidRPr="000050B8">
        <w:rPr>
          <w:color w:val="000000"/>
          <w:szCs w:val="24"/>
          <w:shd w:val="clear" w:color="auto" w:fill="FFFFFF"/>
          <w:lang w:val="en-GB"/>
        </w:rPr>
        <w:t xml:space="preserve"> </w:t>
      </w:r>
      <w:r w:rsidRPr="000050B8">
        <w:rPr>
          <w:color w:val="000000"/>
          <w:szCs w:val="24"/>
          <w:shd w:val="clear" w:color="auto" w:fill="FFFFFF"/>
          <w:lang w:val="en-GB"/>
        </w:rPr>
        <w:t xml:space="preserve">rural areas makes no difference for most innovation outcomes in Norway when other characteristics are controlled for. Location in cities </w:t>
      </w:r>
      <w:r w:rsidR="00FA29EF">
        <w:rPr>
          <w:color w:val="000000"/>
          <w:szCs w:val="24"/>
          <w:shd w:val="clear" w:color="auto" w:fill="FFFFFF"/>
          <w:lang w:val="en-GB"/>
        </w:rPr>
        <w:t xml:space="preserve">also </w:t>
      </w:r>
      <w:r w:rsidR="009D333F">
        <w:rPr>
          <w:color w:val="000000"/>
          <w:szCs w:val="24"/>
          <w:shd w:val="clear" w:color="auto" w:fill="FFFFFF"/>
          <w:lang w:val="en-GB"/>
        </w:rPr>
        <w:t>does not shape</w:t>
      </w:r>
      <w:r w:rsidRPr="000050B8">
        <w:rPr>
          <w:color w:val="000000"/>
          <w:szCs w:val="24"/>
          <w:shd w:val="clear" w:color="auto" w:fill="FFFFFF"/>
          <w:lang w:val="en-GB"/>
        </w:rPr>
        <w:t xml:space="preserve"> the returns to local </w:t>
      </w:r>
      <w:r w:rsidR="00E63EA5">
        <w:rPr>
          <w:color w:val="000000"/>
          <w:szCs w:val="24"/>
          <w:shd w:val="clear" w:color="auto" w:fill="FFFFFF"/>
          <w:lang w:val="en-GB"/>
        </w:rPr>
        <w:t xml:space="preserve">R&amp;D </w:t>
      </w:r>
      <w:r w:rsidRPr="000050B8">
        <w:rPr>
          <w:color w:val="000000"/>
          <w:szCs w:val="24"/>
          <w:shd w:val="clear" w:color="auto" w:fill="FFFFFF"/>
          <w:lang w:val="en-GB"/>
        </w:rPr>
        <w:t xml:space="preserve">collaboration. Hence, the role of cities for innovation in Norway, whether in themselves or as sites for dense local interaction, is less relevant than the </w:t>
      </w:r>
      <w:r w:rsidR="009D333F">
        <w:rPr>
          <w:color w:val="000000"/>
          <w:szCs w:val="24"/>
          <w:shd w:val="clear" w:color="auto" w:fill="FFFFFF"/>
          <w:lang w:val="en-GB"/>
        </w:rPr>
        <w:t xml:space="preserve">urban innovation </w:t>
      </w:r>
      <w:r w:rsidRPr="000050B8">
        <w:rPr>
          <w:color w:val="000000"/>
          <w:szCs w:val="24"/>
          <w:shd w:val="clear" w:color="auto" w:fill="FFFFFF"/>
          <w:lang w:val="en-GB"/>
        </w:rPr>
        <w:t>literature</w:t>
      </w:r>
      <w:r w:rsidR="009D333F">
        <w:rPr>
          <w:color w:val="000000"/>
          <w:szCs w:val="24"/>
          <w:shd w:val="clear" w:color="auto" w:fill="FFFFFF"/>
          <w:lang w:val="en-GB"/>
        </w:rPr>
        <w:t xml:space="preserve"> would predict</w:t>
      </w:r>
      <w:r w:rsidRPr="000050B8">
        <w:rPr>
          <w:color w:val="000000"/>
          <w:szCs w:val="24"/>
          <w:shd w:val="clear" w:color="auto" w:fill="FFFFFF"/>
          <w:lang w:val="en-GB"/>
        </w:rPr>
        <w:t>.</w:t>
      </w:r>
    </w:p>
    <w:p w14:paraId="6C16BFF5" w14:textId="5FFBB9DD" w:rsidR="00F27806" w:rsidRPr="000050B8" w:rsidRDefault="00F27806" w:rsidP="00F27806">
      <w:pPr>
        <w:spacing w:line="480" w:lineRule="auto"/>
        <w:rPr>
          <w:color w:val="000000"/>
          <w:szCs w:val="24"/>
          <w:shd w:val="clear" w:color="auto" w:fill="FFFFFF"/>
          <w:lang w:val="en-GB"/>
        </w:rPr>
      </w:pPr>
      <w:r w:rsidRPr="000050B8">
        <w:rPr>
          <w:color w:val="000000"/>
          <w:szCs w:val="24"/>
          <w:shd w:val="clear" w:color="auto" w:fill="FFFFFF"/>
          <w:lang w:val="en-GB"/>
        </w:rPr>
        <w:t>Keywords: innovation, firms, networking, collaboration, cities, Norway</w:t>
      </w:r>
    </w:p>
    <w:p w14:paraId="22DD8B5C" w14:textId="77777777" w:rsidR="005E6822" w:rsidRDefault="00F27806" w:rsidP="005E6822">
      <w:pPr>
        <w:spacing w:line="480" w:lineRule="auto"/>
        <w:rPr>
          <w:color w:val="000000"/>
          <w:shd w:val="clear" w:color="auto" w:fill="FFFFFF"/>
          <w:lang w:val="es-ES"/>
        </w:rPr>
      </w:pPr>
      <w:r w:rsidRPr="0054457A">
        <w:rPr>
          <w:color w:val="000000"/>
          <w:shd w:val="clear" w:color="auto" w:fill="FFFFFF"/>
          <w:lang w:val="es-ES"/>
        </w:rPr>
        <w:t xml:space="preserve">JEL </w:t>
      </w:r>
      <w:proofErr w:type="spellStart"/>
      <w:r w:rsidRPr="0054457A">
        <w:rPr>
          <w:color w:val="000000"/>
          <w:shd w:val="clear" w:color="auto" w:fill="FFFFFF"/>
          <w:lang w:val="es-ES"/>
        </w:rPr>
        <w:t>codes</w:t>
      </w:r>
      <w:proofErr w:type="spellEnd"/>
      <w:r w:rsidRPr="0054457A">
        <w:rPr>
          <w:color w:val="000000"/>
          <w:shd w:val="clear" w:color="auto" w:fill="FFFFFF"/>
          <w:lang w:val="es-ES"/>
        </w:rPr>
        <w:t>: L25, O31, O33.</w:t>
      </w:r>
    </w:p>
    <w:p w14:paraId="16D40C58" w14:textId="64746206" w:rsidR="00E75286" w:rsidRPr="00EB63F1" w:rsidRDefault="00E75286" w:rsidP="00EB63F1">
      <w:pPr>
        <w:pStyle w:val="Heading2"/>
        <w:numPr>
          <w:ilvl w:val="0"/>
          <w:numId w:val="1"/>
        </w:numPr>
        <w:spacing w:line="480" w:lineRule="auto"/>
        <w:rPr>
          <w:caps/>
          <w:sz w:val="28"/>
          <w:lang w:val="en-GB"/>
        </w:rPr>
      </w:pPr>
      <w:r w:rsidRPr="00EB63F1">
        <w:rPr>
          <w:caps/>
          <w:sz w:val="28"/>
          <w:lang w:val="en-GB"/>
        </w:rPr>
        <w:lastRenderedPageBreak/>
        <w:t>Introduction</w:t>
      </w:r>
      <w:r w:rsidR="00D86AEF" w:rsidRPr="00EB63F1">
        <w:rPr>
          <w:caps/>
          <w:sz w:val="28"/>
          <w:lang w:val="en-GB"/>
        </w:rPr>
        <w:t xml:space="preserve"> </w:t>
      </w:r>
    </w:p>
    <w:p w14:paraId="5FEA5732" w14:textId="4152FDF3" w:rsidR="00E75286" w:rsidRPr="000050B8" w:rsidRDefault="005A3630" w:rsidP="00C43B94">
      <w:pPr>
        <w:spacing w:line="480" w:lineRule="auto"/>
        <w:rPr>
          <w:lang w:val="en-GB"/>
        </w:rPr>
      </w:pPr>
      <w:r w:rsidRPr="000050B8">
        <w:rPr>
          <w:lang w:val="en-GB"/>
        </w:rPr>
        <w:t>Cities are widely regarded as the</w:t>
      </w:r>
      <w:r w:rsidR="001B0D03" w:rsidRPr="00C437E1">
        <w:rPr>
          <w:lang w:val="en-GB"/>
        </w:rPr>
        <w:t xml:space="preserve"> best </w:t>
      </w:r>
      <w:r w:rsidR="00670C30" w:rsidRPr="00C437E1">
        <w:rPr>
          <w:lang w:val="en-GB"/>
        </w:rPr>
        <w:t>locations</w:t>
      </w:r>
      <w:r w:rsidR="00670C30" w:rsidRPr="000050B8">
        <w:rPr>
          <w:lang w:val="en-GB"/>
        </w:rPr>
        <w:t xml:space="preserve"> </w:t>
      </w:r>
      <w:r w:rsidRPr="000050B8">
        <w:rPr>
          <w:lang w:val="en-GB"/>
        </w:rPr>
        <w:t xml:space="preserve">for the brewing of innovation. “Cities, the dense </w:t>
      </w:r>
      <w:r w:rsidR="00EC09BA" w:rsidRPr="000050B8">
        <w:rPr>
          <w:lang w:val="en-GB"/>
        </w:rPr>
        <w:t>agglomerations</w:t>
      </w:r>
      <w:r w:rsidRPr="000050B8">
        <w:rPr>
          <w:lang w:val="en-GB"/>
        </w:rPr>
        <w:t xml:space="preserve"> that dot the globe, have been engines of innovation since Plato and Socrates bickered in an Athenian marketplace” (Glaeser, 2011</w:t>
      </w:r>
      <w:r w:rsidR="00822143">
        <w:rPr>
          <w:lang w:val="en-GB"/>
        </w:rPr>
        <w:t>, p.</w:t>
      </w:r>
      <w:r w:rsidR="00822143" w:rsidRPr="000050B8">
        <w:rPr>
          <w:lang w:val="en-GB"/>
        </w:rPr>
        <w:t xml:space="preserve"> </w:t>
      </w:r>
      <w:r w:rsidR="00EC09BA" w:rsidRPr="000050B8">
        <w:rPr>
          <w:lang w:val="en-GB"/>
        </w:rPr>
        <w:t>1)</w:t>
      </w:r>
      <w:r w:rsidR="001B0D03" w:rsidRPr="000050B8">
        <w:rPr>
          <w:lang w:val="en-GB"/>
        </w:rPr>
        <w:t>.</w:t>
      </w:r>
      <w:r w:rsidRPr="000050B8">
        <w:rPr>
          <w:lang w:val="en-GB"/>
        </w:rPr>
        <w:t xml:space="preserve"> Cities bring together innovative actors in dense environments</w:t>
      </w:r>
      <w:r w:rsidR="001B0D03" w:rsidRPr="000050B8">
        <w:rPr>
          <w:lang w:val="en-GB"/>
        </w:rPr>
        <w:t xml:space="preserve">, </w:t>
      </w:r>
      <w:r w:rsidRPr="000050B8">
        <w:rPr>
          <w:lang w:val="en-GB"/>
        </w:rPr>
        <w:t>facilitat</w:t>
      </w:r>
      <w:r w:rsidR="004D6B79">
        <w:rPr>
          <w:lang w:val="en-GB"/>
        </w:rPr>
        <w:t>ing</w:t>
      </w:r>
      <w:r w:rsidRPr="000050B8">
        <w:rPr>
          <w:lang w:val="en-GB"/>
        </w:rPr>
        <w:t xml:space="preserve"> </w:t>
      </w:r>
      <w:r w:rsidR="001E703E" w:rsidRPr="000050B8">
        <w:rPr>
          <w:lang w:val="en-GB"/>
        </w:rPr>
        <w:t xml:space="preserve">the </w:t>
      </w:r>
      <w:r w:rsidRPr="000050B8">
        <w:rPr>
          <w:lang w:val="en-GB"/>
        </w:rPr>
        <w:t>connectivity</w:t>
      </w:r>
      <w:r w:rsidR="001B0D03" w:rsidRPr="000050B8">
        <w:rPr>
          <w:lang w:val="en-GB"/>
        </w:rPr>
        <w:t xml:space="preserve"> </w:t>
      </w:r>
      <w:r w:rsidR="001E703E" w:rsidRPr="000050B8">
        <w:rPr>
          <w:lang w:val="en-GB"/>
        </w:rPr>
        <w:t xml:space="preserve">that some </w:t>
      </w:r>
      <w:r w:rsidR="001B0D03" w:rsidRPr="000050B8">
        <w:rPr>
          <w:lang w:val="en-GB"/>
        </w:rPr>
        <w:t>have</w:t>
      </w:r>
      <w:r w:rsidRPr="000050B8">
        <w:rPr>
          <w:lang w:val="en-GB"/>
        </w:rPr>
        <w:t xml:space="preserve"> called ‘buzz’ (Storper </w:t>
      </w:r>
      <w:r w:rsidR="001D2316">
        <w:rPr>
          <w:lang w:val="en-GB"/>
        </w:rPr>
        <w:t>&amp;</w:t>
      </w:r>
      <w:r w:rsidR="001D2316" w:rsidRPr="000050B8">
        <w:rPr>
          <w:lang w:val="en-GB"/>
        </w:rPr>
        <w:t xml:space="preserve"> </w:t>
      </w:r>
      <w:r w:rsidRPr="000050B8">
        <w:rPr>
          <w:lang w:val="en-GB"/>
        </w:rPr>
        <w:t xml:space="preserve">Venables, 2004). Cities also </w:t>
      </w:r>
      <w:r w:rsidR="001B0D03" w:rsidRPr="000050B8">
        <w:rPr>
          <w:lang w:val="en-GB"/>
        </w:rPr>
        <w:t>produce</w:t>
      </w:r>
      <w:r w:rsidRPr="000050B8">
        <w:rPr>
          <w:lang w:val="en-GB"/>
        </w:rPr>
        <w:t xml:space="preserve"> positive externalities through the</w:t>
      </w:r>
      <w:r w:rsidR="009D333F">
        <w:rPr>
          <w:lang w:val="en-GB"/>
        </w:rPr>
        <w:t>ir</w:t>
      </w:r>
      <w:r w:rsidRPr="000050B8">
        <w:rPr>
          <w:lang w:val="en-GB"/>
        </w:rPr>
        <w:t xml:space="preserve"> concentration of skills, entrepreneurship</w:t>
      </w:r>
      <w:r w:rsidR="001E703E" w:rsidRPr="000050B8">
        <w:rPr>
          <w:lang w:val="en-GB"/>
        </w:rPr>
        <w:t xml:space="preserve"> and </w:t>
      </w:r>
      <w:r w:rsidRPr="000050B8">
        <w:rPr>
          <w:lang w:val="en-GB"/>
        </w:rPr>
        <w:t>creativ</w:t>
      </w:r>
      <w:r w:rsidR="009D333F">
        <w:rPr>
          <w:lang w:val="en-GB"/>
        </w:rPr>
        <w:t>ity</w:t>
      </w:r>
      <w:r w:rsidRPr="000050B8">
        <w:rPr>
          <w:lang w:val="en-GB"/>
        </w:rPr>
        <w:t xml:space="preserve">, </w:t>
      </w:r>
      <w:r w:rsidR="001E703E" w:rsidRPr="000050B8">
        <w:rPr>
          <w:lang w:val="en-GB"/>
        </w:rPr>
        <w:t xml:space="preserve">through </w:t>
      </w:r>
      <w:r w:rsidR="001B0D03" w:rsidRPr="000050B8">
        <w:rPr>
          <w:lang w:val="en-GB"/>
        </w:rPr>
        <w:t xml:space="preserve">the </w:t>
      </w:r>
      <w:r w:rsidRPr="000050B8">
        <w:rPr>
          <w:lang w:val="en-GB"/>
        </w:rPr>
        <w:t>related and diverse firms they contain</w:t>
      </w:r>
      <w:r w:rsidR="009D333F">
        <w:rPr>
          <w:lang w:val="en-GB"/>
        </w:rPr>
        <w:t>,</w:t>
      </w:r>
      <w:r w:rsidRPr="000050B8">
        <w:rPr>
          <w:lang w:val="en-GB"/>
        </w:rPr>
        <w:t xml:space="preserve"> and </w:t>
      </w:r>
      <w:r w:rsidR="001E703E" w:rsidRPr="000050B8">
        <w:rPr>
          <w:lang w:val="en-GB"/>
        </w:rPr>
        <w:t xml:space="preserve">through </w:t>
      </w:r>
      <w:r w:rsidRPr="000050B8">
        <w:rPr>
          <w:lang w:val="en-GB"/>
        </w:rPr>
        <w:t>the trade and cultural exchanges they generate. Proximity</w:t>
      </w:r>
      <w:r w:rsidR="001B0D03" w:rsidRPr="000050B8">
        <w:rPr>
          <w:lang w:val="en-GB"/>
        </w:rPr>
        <w:t xml:space="preserve"> </w:t>
      </w:r>
      <w:r w:rsidRPr="000050B8">
        <w:rPr>
          <w:lang w:val="en-GB"/>
        </w:rPr>
        <w:t xml:space="preserve">to other innovative actors in cities “provides valuable information that can be a wellspring of innovation” (Glaeser, 2011: </w:t>
      </w:r>
      <w:r w:rsidR="00822143">
        <w:rPr>
          <w:lang w:val="en-GB"/>
        </w:rPr>
        <w:t xml:space="preserve">p. </w:t>
      </w:r>
      <w:r w:rsidR="001B0D03" w:rsidRPr="000050B8">
        <w:rPr>
          <w:lang w:val="en-GB"/>
        </w:rPr>
        <w:t>21</w:t>
      </w:r>
      <w:r w:rsidRPr="000050B8">
        <w:rPr>
          <w:lang w:val="en-GB"/>
        </w:rPr>
        <w:t>).</w:t>
      </w:r>
      <w:r w:rsidR="00F7678E" w:rsidRPr="000050B8">
        <w:rPr>
          <w:lang w:val="en-GB"/>
        </w:rPr>
        <w:t xml:space="preserve"> Hence, the general perception is that if firms want to innovate, they have to locate in cities. Firms in cities are more innovative</w:t>
      </w:r>
      <w:r w:rsidR="00537D0D">
        <w:rPr>
          <w:lang w:val="en-GB"/>
        </w:rPr>
        <w:t>,</w:t>
      </w:r>
      <w:r w:rsidR="00F7678E" w:rsidRPr="000050B8">
        <w:rPr>
          <w:lang w:val="en-GB"/>
        </w:rPr>
        <w:t xml:space="preserve"> and the bigger the city, the bigger the</w:t>
      </w:r>
      <w:r w:rsidR="001B0D03" w:rsidRPr="000050B8">
        <w:rPr>
          <w:lang w:val="en-GB"/>
        </w:rPr>
        <w:t xml:space="preserve"> potential for a firm to become innovative</w:t>
      </w:r>
      <w:r w:rsidR="00F7678E" w:rsidRPr="000050B8">
        <w:rPr>
          <w:lang w:val="en-GB"/>
        </w:rPr>
        <w:t>.</w:t>
      </w:r>
    </w:p>
    <w:p w14:paraId="0285A4D1" w14:textId="0B10A356" w:rsidR="00F7678E" w:rsidRPr="000050B8" w:rsidRDefault="00F7678E" w:rsidP="00C43B94">
      <w:pPr>
        <w:spacing w:line="480" w:lineRule="auto"/>
        <w:rPr>
          <w:lang w:val="en-GB"/>
        </w:rPr>
      </w:pPr>
      <w:r w:rsidRPr="000050B8">
        <w:rPr>
          <w:lang w:val="en-GB"/>
        </w:rPr>
        <w:t>However, this tenet has</w:t>
      </w:r>
      <w:r w:rsidR="001B0D03" w:rsidRPr="000050B8">
        <w:rPr>
          <w:lang w:val="en-GB"/>
        </w:rPr>
        <w:t xml:space="preserve"> been </w:t>
      </w:r>
      <w:r w:rsidRPr="000050B8">
        <w:rPr>
          <w:lang w:val="en-GB"/>
        </w:rPr>
        <w:t>increasingly challenged by empirical research looking</w:t>
      </w:r>
      <w:r w:rsidR="001B0D03" w:rsidRPr="000050B8">
        <w:rPr>
          <w:lang w:val="en-GB"/>
        </w:rPr>
        <w:t xml:space="preserve"> </w:t>
      </w:r>
      <w:r w:rsidRPr="000050B8">
        <w:rPr>
          <w:lang w:val="en-GB"/>
        </w:rPr>
        <w:t xml:space="preserve">at where firms get the information that makes them more innovative (e.g. </w:t>
      </w:r>
      <w:proofErr w:type="spellStart"/>
      <w:r w:rsidRPr="000050B8">
        <w:rPr>
          <w:lang w:val="en-GB"/>
        </w:rPr>
        <w:t>Doloreux</w:t>
      </w:r>
      <w:proofErr w:type="spellEnd"/>
      <w:r w:rsidRPr="000050B8">
        <w:rPr>
          <w:lang w:val="en-GB"/>
        </w:rPr>
        <w:t xml:space="preserve"> </w:t>
      </w:r>
      <w:r w:rsidR="001D2316">
        <w:rPr>
          <w:lang w:val="en-GB"/>
        </w:rPr>
        <w:t>&amp;</w:t>
      </w:r>
      <w:r w:rsidR="001D2316" w:rsidRPr="000050B8">
        <w:rPr>
          <w:lang w:val="en-GB"/>
        </w:rPr>
        <w:t xml:space="preserve"> </w:t>
      </w:r>
      <w:r w:rsidRPr="000050B8">
        <w:rPr>
          <w:lang w:val="en-GB"/>
        </w:rPr>
        <w:t>Dionne</w:t>
      </w:r>
      <w:r w:rsidR="001D2316">
        <w:rPr>
          <w:lang w:val="en-GB"/>
        </w:rPr>
        <w:t>,</w:t>
      </w:r>
      <w:r w:rsidRPr="000050B8">
        <w:rPr>
          <w:lang w:val="en-GB"/>
        </w:rPr>
        <w:t xml:space="preserve"> 2008; Fitjar </w:t>
      </w:r>
      <w:r w:rsidR="001D2316">
        <w:rPr>
          <w:lang w:val="en-GB"/>
        </w:rPr>
        <w:t>&amp;</w:t>
      </w:r>
      <w:r w:rsidR="001D2316" w:rsidRPr="000050B8">
        <w:rPr>
          <w:lang w:val="en-GB"/>
        </w:rPr>
        <w:t xml:space="preserve"> </w:t>
      </w:r>
      <w:r w:rsidRPr="000050B8">
        <w:rPr>
          <w:lang w:val="en-GB"/>
        </w:rPr>
        <w:t>Rodríguez-Pose</w:t>
      </w:r>
      <w:r w:rsidR="001D2316">
        <w:rPr>
          <w:lang w:val="en-GB"/>
        </w:rPr>
        <w:t>,</w:t>
      </w:r>
      <w:r w:rsidRPr="000050B8">
        <w:rPr>
          <w:lang w:val="en-GB"/>
        </w:rPr>
        <w:t xml:space="preserve"> 2011; </w:t>
      </w:r>
      <w:proofErr w:type="spellStart"/>
      <w:r w:rsidRPr="000050B8">
        <w:rPr>
          <w:lang w:val="en-GB"/>
        </w:rPr>
        <w:t>Tödtling</w:t>
      </w:r>
      <w:proofErr w:type="spellEnd"/>
      <w:r w:rsidR="001D2316">
        <w:rPr>
          <w:lang w:val="en-GB"/>
        </w:rPr>
        <w:t xml:space="preserve">, Grillitsch, &amp; </w:t>
      </w:r>
      <w:proofErr w:type="spellStart"/>
      <w:r w:rsidR="001D2316">
        <w:rPr>
          <w:lang w:val="en-GB"/>
        </w:rPr>
        <w:t>Höglinger</w:t>
      </w:r>
      <w:proofErr w:type="spellEnd"/>
      <w:r w:rsidR="001D2316">
        <w:rPr>
          <w:lang w:val="en-GB"/>
        </w:rPr>
        <w:t>,</w:t>
      </w:r>
      <w:r w:rsidRPr="000050B8">
        <w:rPr>
          <w:lang w:val="en-GB"/>
        </w:rPr>
        <w:t xml:space="preserve"> 2012; Rodríguez-Pose </w:t>
      </w:r>
      <w:r w:rsidR="001D2316">
        <w:rPr>
          <w:lang w:val="en-GB"/>
        </w:rPr>
        <w:t>&amp;</w:t>
      </w:r>
      <w:r w:rsidR="001D2316" w:rsidRPr="000050B8">
        <w:rPr>
          <w:lang w:val="en-GB"/>
        </w:rPr>
        <w:t xml:space="preserve"> </w:t>
      </w:r>
      <w:r w:rsidRPr="000050B8">
        <w:rPr>
          <w:lang w:val="en-GB"/>
        </w:rPr>
        <w:t>Fitjar</w:t>
      </w:r>
      <w:r w:rsidR="001D2316">
        <w:rPr>
          <w:lang w:val="en-GB"/>
        </w:rPr>
        <w:t>,</w:t>
      </w:r>
      <w:r w:rsidRPr="000050B8">
        <w:rPr>
          <w:lang w:val="en-GB"/>
        </w:rPr>
        <w:t xml:space="preserve"> 2013; Grillitsch </w:t>
      </w:r>
      <w:r w:rsidR="001D2316">
        <w:rPr>
          <w:lang w:val="en-GB"/>
        </w:rPr>
        <w:t>&amp;</w:t>
      </w:r>
      <w:r w:rsidR="001D2316" w:rsidRPr="000050B8">
        <w:rPr>
          <w:lang w:val="en-GB"/>
        </w:rPr>
        <w:t xml:space="preserve"> </w:t>
      </w:r>
      <w:r w:rsidRPr="000050B8">
        <w:rPr>
          <w:lang w:val="en-GB"/>
        </w:rPr>
        <w:t>Nilsson</w:t>
      </w:r>
      <w:r w:rsidR="001D2316">
        <w:rPr>
          <w:lang w:val="en-GB"/>
        </w:rPr>
        <w:t>,</w:t>
      </w:r>
      <w:r w:rsidRPr="000050B8">
        <w:rPr>
          <w:lang w:val="en-GB"/>
        </w:rPr>
        <w:t xml:space="preserve"> 2015</w:t>
      </w:r>
      <w:r w:rsidR="00FC6B3E">
        <w:rPr>
          <w:lang w:val="en-GB"/>
        </w:rPr>
        <w:t xml:space="preserve">; </w:t>
      </w:r>
      <w:proofErr w:type="spellStart"/>
      <w:r w:rsidR="00FC6B3E">
        <w:rPr>
          <w:lang w:val="en-GB"/>
        </w:rPr>
        <w:t>Meili</w:t>
      </w:r>
      <w:proofErr w:type="spellEnd"/>
      <w:r w:rsidR="00FC6B3E">
        <w:rPr>
          <w:lang w:val="en-GB"/>
        </w:rPr>
        <w:t xml:space="preserve"> 2018</w:t>
      </w:r>
      <w:r w:rsidRPr="000050B8">
        <w:rPr>
          <w:lang w:val="en-GB"/>
        </w:rPr>
        <w:t xml:space="preserve">). </w:t>
      </w:r>
      <w:r w:rsidR="004D6B79">
        <w:rPr>
          <w:lang w:val="en-GB"/>
        </w:rPr>
        <w:t>T</w:t>
      </w:r>
      <w:r w:rsidRPr="000050B8">
        <w:rPr>
          <w:lang w:val="en-GB"/>
        </w:rPr>
        <w:t xml:space="preserve">his research has </w:t>
      </w:r>
      <w:r w:rsidR="009D333F" w:rsidRPr="000050B8">
        <w:rPr>
          <w:lang w:val="en-GB"/>
        </w:rPr>
        <w:t>emphasi</w:t>
      </w:r>
      <w:r w:rsidR="009D333F">
        <w:rPr>
          <w:lang w:val="en-GB"/>
        </w:rPr>
        <w:t>z</w:t>
      </w:r>
      <w:r w:rsidR="009D333F" w:rsidRPr="000050B8">
        <w:rPr>
          <w:lang w:val="en-GB"/>
        </w:rPr>
        <w:t>e</w:t>
      </w:r>
      <w:r w:rsidR="009D333F">
        <w:rPr>
          <w:lang w:val="en-GB"/>
        </w:rPr>
        <w:t>d</w:t>
      </w:r>
      <w:r w:rsidR="009D333F" w:rsidRPr="000050B8">
        <w:rPr>
          <w:lang w:val="en-GB"/>
        </w:rPr>
        <w:t xml:space="preserve"> </w:t>
      </w:r>
      <w:r w:rsidRPr="000050B8">
        <w:rPr>
          <w:lang w:val="en-GB"/>
        </w:rPr>
        <w:t>that innovation is more a consequence of internal developments within the firm</w:t>
      </w:r>
      <w:r w:rsidR="00EA20EC" w:rsidRPr="000050B8">
        <w:rPr>
          <w:lang w:val="en-GB"/>
        </w:rPr>
        <w:t xml:space="preserve"> and of the development of </w:t>
      </w:r>
      <w:r w:rsidR="004D6B79">
        <w:rPr>
          <w:lang w:val="en-GB"/>
        </w:rPr>
        <w:t xml:space="preserve">purpose-built </w:t>
      </w:r>
      <w:r w:rsidR="00EA20EC" w:rsidRPr="000050B8">
        <w:rPr>
          <w:lang w:val="en-GB"/>
        </w:rPr>
        <w:t>networks</w:t>
      </w:r>
      <w:r w:rsidR="001B0D03" w:rsidRPr="000050B8">
        <w:rPr>
          <w:lang w:val="en-GB"/>
        </w:rPr>
        <w:t xml:space="preserve"> </w:t>
      </w:r>
      <w:r w:rsidR="007B7392" w:rsidRPr="000050B8">
        <w:rPr>
          <w:lang w:val="en-GB"/>
        </w:rPr>
        <w:t>than of the positive externalities afforded by dense urban environments. Firms in relatively remote environments often compensate for the lack of local externalities by developing more pipelines that bypass the local environment and reach out to other innovative environments</w:t>
      </w:r>
      <w:r w:rsidR="00537D0D">
        <w:rPr>
          <w:lang w:val="en-GB"/>
        </w:rPr>
        <w:t>,</w:t>
      </w:r>
      <w:r w:rsidR="007B7392" w:rsidRPr="000050B8">
        <w:rPr>
          <w:lang w:val="en-GB"/>
        </w:rPr>
        <w:t xml:space="preserve"> often in distant parts of the world</w:t>
      </w:r>
      <w:r w:rsidR="001B0D03" w:rsidRPr="000050B8">
        <w:rPr>
          <w:lang w:val="en-GB"/>
        </w:rPr>
        <w:t xml:space="preserve"> (Grillitsch </w:t>
      </w:r>
      <w:r w:rsidR="001D2316">
        <w:rPr>
          <w:lang w:val="en-GB"/>
        </w:rPr>
        <w:t>&amp;</w:t>
      </w:r>
      <w:r w:rsidR="001D2316" w:rsidRPr="000050B8">
        <w:rPr>
          <w:lang w:val="en-GB"/>
        </w:rPr>
        <w:t xml:space="preserve"> </w:t>
      </w:r>
      <w:r w:rsidR="001B0D03" w:rsidRPr="000050B8">
        <w:rPr>
          <w:lang w:val="en-GB"/>
        </w:rPr>
        <w:t>Nilsson 2015</w:t>
      </w:r>
      <w:r w:rsidR="00557574">
        <w:rPr>
          <w:lang w:val="en-GB"/>
        </w:rPr>
        <w:t xml:space="preserve">; </w:t>
      </w:r>
      <w:r w:rsidR="001D2316">
        <w:rPr>
          <w:lang w:val="en-GB"/>
        </w:rPr>
        <w:t xml:space="preserve">Mayer, </w:t>
      </w:r>
      <w:proofErr w:type="spellStart"/>
      <w:r w:rsidR="001D2316">
        <w:rPr>
          <w:lang w:val="en-GB"/>
        </w:rPr>
        <w:t>Habersetzer</w:t>
      </w:r>
      <w:proofErr w:type="spellEnd"/>
      <w:r w:rsidR="001D2316">
        <w:rPr>
          <w:lang w:val="en-GB"/>
        </w:rPr>
        <w:t xml:space="preserve">, &amp; </w:t>
      </w:r>
      <w:proofErr w:type="spellStart"/>
      <w:r w:rsidR="001D2316">
        <w:rPr>
          <w:lang w:val="en-GB"/>
        </w:rPr>
        <w:t>Meili</w:t>
      </w:r>
      <w:proofErr w:type="spellEnd"/>
      <w:r w:rsidR="001D2316">
        <w:rPr>
          <w:lang w:val="en-GB"/>
        </w:rPr>
        <w:t>,</w:t>
      </w:r>
      <w:r w:rsidR="00557574">
        <w:rPr>
          <w:lang w:val="en-GB"/>
        </w:rPr>
        <w:t xml:space="preserve"> 2016</w:t>
      </w:r>
      <w:r w:rsidR="00005372">
        <w:rPr>
          <w:lang w:val="en-GB"/>
        </w:rPr>
        <w:t xml:space="preserve">; </w:t>
      </w:r>
      <w:proofErr w:type="spellStart"/>
      <w:r w:rsidR="00005372">
        <w:rPr>
          <w:lang w:val="en-GB"/>
        </w:rPr>
        <w:t>Haberzetzer</w:t>
      </w:r>
      <w:proofErr w:type="spellEnd"/>
      <w:r w:rsidR="001D2316">
        <w:rPr>
          <w:lang w:val="en-GB"/>
        </w:rPr>
        <w:t>,</w:t>
      </w:r>
      <w:r w:rsidR="00005372">
        <w:rPr>
          <w:lang w:val="en-GB"/>
        </w:rPr>
        <w:t xml:space="preserve"> </w:t>
      </w:r>
      <w:proofErr w:type="spellStart"/>
      <w:r w:rsidR="001D2316">
        <w:rPr>
          <w:lang w:val="en-GB"/>
        </w:rPr>
        <w:t>Grèzes-Bürcher</w:t>
      </w:r>
      <w:proofErr w:type="spellEnd"/>
      <w:r w:rsidR="001D2316">
        <w:rPr>
          <w:lang w:val="en-GB"/>
        </w:rPr>
        <w:t>, Boschma, &amp; Mayer,</w:t>
      </w:r>
      <w:r w:rsidR="00005372">
        <w:rPr>
          <w:lang w:val="en-GB"/>
        </w:rPr>
        <w:t xml:space="preserve"> </w:t>
      </w:r>
      <w:r w:rsidR="00E34566">
        <w:rPr>
          <w:lang w:val="en-GB"/>
        </w:rPr>
        <w:t>2019</w:t>
      </w:r>
      <w:r w:rsidR="001B0D03" w:rsidRPr="000050B8">
        <w:rPr>
          <w:lang w:val="en-GB"/>
        </w:rPr>
        <w:t>)</w:t>
      </w:r>
      <w:r w:rsidR="007B7392" w:rsidRPr="000050B8">
        <w:rPr>
          <w:lang w:val="en-GB"/>
        </w:rPr>
        <w:t>.</w:t>
      </w:r>
      <w:r w:rsidR="00557574">
        <w:rPr>
          <w:lang w:val="en-GB"/>
        </w:rPr>
        <w:t xml:space="preserve"> Besides, peripheral regions may offer other advantages, such as quietness or opportunities for secrecy, which can attract </w:t>
      </w:r>
      <w:r w:rsidR="00D63D34">
        <w:rPr>
          <w:lang w:val="en-GB"/>
        </w:rPr>
        <w:t xml:space="preserve">some types of </w:t>
      </w:r>
      <w:r w:rsidR="00557574">
        <w:rPr>
          <w:lang w:val="en-GB"/>
        </w:rPr>
        <w:t>innovative firms (Shearmur</w:t>
      </w:r>
      <w:r w:rsidR="001D2316">
        <w:rPr>
          <w:lang w:val="en-GB"/>
        </w:rPr>
        <w:t>,</w:t>
      </w:r>
      <w:r w:rsidR="00557574">
        <w:rPr>
          <w:lang w:val="en-GB"/>
        </w:rPr>
        <w:t xml:space="preserve"> 2012; Mayer </w:t>
      </w:r>
      <w:r w:rsidR="001D2316">
        <w:rPr>
          <w:lang w:val="en-GB"/>
        </w:rPr>
        <w:t xml:space="preserve">&amp; </w:t>
      </w:r>
      <w:r w:rsidR="00557574">
        <w:rPr>
          <w:lang w:val="en-GB"/>
        </w:rPr>
        <w:t>Baumgartner</w:t>
      </w:r>
      <w:r w:rsidR="001D2316">
        <w:rPr>
          <w:lang w:val="en-GB"/>
        </w:rPr>
        <w:t>,</w:t>
      </w:r>
      <w:r w:rsidR="00557574">
        <w:rPr>
          <w:lang w:val="en-GB"/>
        </w:rPr>
        <w:t xml:space="preserve"> 2014; </w:t>
      </w:r>
      <w:r w:rsidR="00D63D34">
        <w:rPr>
          <w:lang w:val="en-GB"/>
        </w:rPr>
        <w:t xml:space="preserve">Shearmur </w:t>
      </w:r>
      <w:r w:rsidR="001D2316">
        <w:rPr>
          <w:lang w:val="en-GB"/>
        </w:rPr>
        <w:t xml:space="preserve">&amp; </w:t>
      </w:r>
      <w:proofErr w:type="spellStart"/>
      <w:r w:rsidR="00D63D34">
        <w:rPr>
          <w:lang w:val="en-GB"/>
        </w:rPr>
        <w:t>Doloreux</w:t>
      </w:r>
      <w:proofErr w:type="spellEnd"/>
      <w:r w:rsidR="001D2316">
        <w:rPr>
          <w:lang w:val="en-GB"/>
        </w:rPr>
        <w:t>,</w:t>
      </w:r>
      <w:r w:rsidR="00D63D34">
        <w:rPr>
          <w:lang w:val="en-GB"/>
        </w:rPr>
        <w:t xml:space="preserve"> 2016; </w:t>
      </w:r>
      <w:r w:rsidR="00557574">
        <w:rPr>
          <w:lang w:val="en-GB"/>
        </w:rPr>
        <w:t>Eder</w:t>
      </w:r>
      <w:r w:rsidR="001D2316">
        <w:rPr>
          <w:lang w:val="en-GB"/>
        </w:rPr>
        <w:t>,</w:t>
      </w:r>
      <w:r w:rsidR="00557574">
        <w:rPr>
          <w:lang w:val="en-GB"/>
        </w:rPr>
        <w:t xml:space="preserve"> </w:t>
      </w:r>
      <w:r w:rsidR="00E34566">
        <w:rPr>
          <w:lang w:val="en-GB"/>
        </w:rPr>
        <w:t>2019</w:t>
      </w:r>
      <w:r w:rsidR="00557574">
        <w:rPr>
          <w:lang w:val="en-GB"/>
        </w:rPr>
        <w:t>).</w:t>
      </w:r>
    </w:p>
    <w:p w14:paraId="285FFD9F" w14:textId="45C9372E" w:rsidR="00937856" w:rsidRPr="000050B8" w:rsidRDefault="007B7392" w:rsidP="00673D53">
      <w:pPr>
        <w:spacing w:line="480" w:lineRule="auto"/>
        <w:rPr>
          <w:lang w:val="en-GB"/>
        </w:rPr>
      </w:pPr>
      <w:r w:rsidRPr="000050B8">
        <w:rPr>
          <w:lang w:val="en-GB"/>
        </w:rPr>
        <w:lastRenderedPageBreak/>
        <w:t xml:space="preserve">Consequently, there is a growing debate about </w:t>
      </w:r>
      <w:r w:rsidR="00537D0D">
        <w:rPr>
          <w:lang w:val="en-GB"/>
        </w:rPr>
        <w:t>whether</w:t>
      </w:r>
      <w:r w:rsidR="00537D0D" w:rsidRPr="000050B8">
        <w:rPr>
          <w:lang w:val="en-GB"/>
        </w:rPr>
        <w:t xml:space="preserve"> </w:t>
      </w:r>
      <w:r w:rsidRPr="000050B8">
        <w:rPr>
          <w:lang w:val="en-GB"/>
        </w:rPr>
        <w:t>local linkages</w:t>
      </w:r>
      <w:r w:rsidR="001C7D18" w:rsidRPr="000050B8">
        <w:rPr>
          <w:lang w:val="en-GB"/>
        </w:rPr>
        <w:t>, in general,</w:t>
      </w:r>
      <w:r w:rsidRPr="000050B8">
        <w:rPr>
          <w:lang w:val="en-GB"/>
        </w:rPr>
        <w:t xml:space="preserve"> and local linkages within cities</w:t>
      </w:r>
      <w:r w:rsidR="001C7D18" w:rsidRPr="000050B8">
        <w:rPr>
          <w:lang w:val="en-GB"/>
        </w:rPr>
        <w:t xml:space="preserve">, in particular, </w:t>
      </w:r>
      <w:r w:rsidR="00537D0D">
        <w:rPr>
          <w:lang w:val="en-GB"/>
        </w:rPr>
        <w:t xml:space="preserve">actually </w:t>
      </w:r>
      <w:r w:rsidR="001C7D18" w:rsidRPr="000050B8">
        <w:rPr>
          <w:lang w:val="en-GB"/>
        </w:rPr>
        <w:t xml:space="preserve">influence </w:t>
      </w:r>
      <w:r w:rsidR="004D6B79">
        <w:rPr>
          <w:lang w:val="en-GB"/>
        </w:rPr>
        <w:t>firms’</w:t>
      </w:r>
      <w:r w:rsidR="004D6B79" w:rsidRPr="000050B8">
        <w:rPr>
          <w:lang w:val="en-GB"/>
        </w:rPr>
        <w:t xml:space="preserve"> </w:t>
      </w:r>
      <w:r w:rsidR="001C7D18" w:rsidRPr="000050B8">
        <w:rPr>
          <w:lang w:val="en-GB"/>
        </w:rPr>
        <w:t xml:space="preserve">capacity </w:t>
      </w:r>
      <w:r w:rsidR="004D6B79">
        <w:rPr>
          <w:lang w:val="en-GB"/>
        </w:rPr>
        <w:t>for</w:t>
      </w:r>
      <w:r w:rsidR="001C7D18" w:rsidRPr="000050B8">
        <w:rPr>
          <w:lang w:val="en-GB"/>
        </w:rPr>
        <w:t xml:space="preserve"> innovation. This paper delves into this question</w:t>
      </w:r>
      <w:r w:rsidR="001B0D03" w:rsidRPr="000050B8">
        <w:rPr>
          <w:lang w:val="en-GB"/>
        </w:rPr>
        <w:t xml:space="preserve"> by means of </w:t>
      </w:r>
      <w:r w:rsidR="001C7D18" w:rsidRPr="000050B8">
        <w:rPr>
          <w:lang w:val="en-GB"/>
        </w:rPr>
        <w:t xml:space="preserve">a rich dataset containing a </w:t>
      </w:r>
      <w:r w:rsidR="00E73F39" w:rsidRPr="000050B8">
        <w:rPr>
          <w:lang w:val="en-GB"/>
        </w:rPr>
        <w:t xml:space="preserve">large sample of </w:t>
      </w:r>
      <w:r w:rsidR="00E63EA5">
        <w:rPr>
          <w:lang w:val="en-GB"/>
        </w:rPr>
        <w:t xml:space="preserve">Norwegian </w:t>
      </w:r>
      <w:r w:rsidR="001C7D18" w:rsidRPr="000050B8">
        <w:rPr>
          <w:lang w:val="en-GB"/>
        </w:rPr>
        <w:t>firms</w:t>
      </w:r>
      <w:r w:rsidR="001B0D03" w:rsidRPr="000050B8">
        <w:rPr>
          <w:lang w:val="en-GB"/>
        </w:rPr>
        <w:t>.</w:t>
      </w:r>
      <w:r w:rsidR="00EF4864">
        <w:rPr>
          <w:lang w:val="en-GB"/>
        </w:rPr>
        <w:t xml:space="preserve"> </w:t>
      </w:r>
      <w:r w:rsidR="00226B32">
        <w:rPr>
          <w:lang w:val="en-GB"/>
        </w:rPr>
        <w:t xml:space="preserve">Norway is </w:t>
      </w:r>
      <w:r w:rsidR="009D333F">
        <w:rPr>
          <w:lang w:val="en-GB"/>
        </w:rPr>
        <w:t xml:space="preserve">an interesting case </w:t>
      </w:r>
      <w:r w:rsidR="00226B32">
        <w:rPr>
          <w:lang w:val="en-GB"/>
        </w:rPr>
        <w:t xml:space="preserve">because of its status as </w:t>
      </w:r>
      <w:r w:rsidR="008E08DA">
        <w:rPr>
          <w:lang w:val="en-GB"/>
        </w:rPr>
        <w:t xml:space="preserve">one </w:t>
      </w:r>
      <w:r w:rsidR="00226B32">
        <w:rPr>
          <w:lang w:val="en-GB"/>
        </w:rPr>
        <w:t>of the most innovative economies in the world</w:t>
      </w:r>
      <w:r w:rsidR="00B832B8">
        <w:rPr>
          <w:lang w:val="en-GB"/>
        </w:rPr>
        <w:t>. Th</w:t>
      </w:r>
      <w:r w:rsidR="00226B32">
        <w:rPr>
          <w:lang w:val="en-GB"/>
        </w:rPr>
        <w:t>e presence of highly innovative and productive firms in such a small and remote (albeit rich) country, lacking large urban agglomerations,</w:t>
      </w:r>
      <w:r w:rsidR="00B832B8">
        <w:rPr>
          <w:lang w:val="en-GB"/>
        </w:rPr>
        <w:t xml:space="preserve"> represents a puzzle</w:t>
      </w:r>
      <w:r w:rsidR="00226B32">
        <w:rPr>
          <w:lang w:val="en-GB"/>
        </w:rPr>
        <w:t xml:space="preserve"> in light of the theories that posit that</w:t>
      </w:r>
      <w:r w:rsidR="00B832B8">
        <w:rPr>
          <w:lang w:val="en-GB"/>
        </w:rPr>
        <w:t xml:space="preserve"> innovation mainly happens in</w:t>
      </w:r>
      <w:r w:rsidR="00226B32">
        <w:rPr>
          <w:lang w:val="en-GB"/>
        </w:rPr>
        <w:t xml:space="preserve"> big</w:t>
      </w:r>
      <w:r w:rsidR="00B832B8">
        <w:rPr>
          <w:lang w:val="en-GB"/>
        </w:rPr>
        <w:t xml:space="preserve"> cities. </w:t>
      </w:r>
      <w:r w:rsidR="00EF4864">
        <w:rPr>
          <w:lang w:val="en-GB"/>
        </w:rPr>
        <w:t xml:space="preserve">In </w:t>
      </w:r>
      <w:r w:rsidR="00B832B8">
        <w:rPr>
          <w:lang w:val="en-GB"/>
        </w:rPr>
        <w:t xml:space="preserve">addressing </w:t>
      </w:r>
      <w:r w:rsidR="009D333F">
        <w:rPr>
          <w:lang w:val="en-GB"/>
        </w:rPr>
        <w:t>how local collaboration in cities shape innovation</w:t>
      </w:r>
      <w:r w:rsidR="00EF4864">
        <w:rPr>
          <w:lang w:val="en-GB"/>
        </w:rPr>
        <w:t xml:space="preserve">, </w:t>
      </w:r>
      <w:r w:rsidR="00B832B8">
        <w:rPr>
          <w:lang w:val="en-GB"/>
        </w:rPr>
        <w:t>this paper</w:t>
      </w:r>
      <w:r w:rsidR="00EF4864">
        <w:rPr>
          <w:lang w:val="en-GB"/>
        </w:rPr>
        <w:t xml:space="preserve"> provides new empirical evidence, using </w:t>
      </w:r>
      <w:r w:rsidR="00DD6459">
        <w:rPr>
          <w:lang w:val="en-GB"/>
        </w:rPr>
        <w:t xml:space="preserve">more extensive and reliable data than </w:t>
      </w:r>
      <w:r w:rsidR="00906119">
        <w:rPr>
          <w:lang w:val="en-GB"/>
        </w:rPr>
        <w:t>most</w:t>
      </w:r>
      <w:r w:rsidR="00DD6459">
        <w:rPr>
          <w:lang w:val="en-GB"/>
        </w:rPr>
        <w:t xml:space="preserve"> previous research on this topic.</w:t>
      </w:r>
      <w:r w:rsidR="00EF4864">
        <w:rPr>
          <w:lang w:val="en-GB"/>
        </w:rPr>
        <w:t xml:space="preserve"> </w:t>
      </w:r>
      <w:r w:rsidR="001B0D03" w:rsidRPr="000050B8">
        <w:rPr>
          <w:lang w:val="en-GB"/>
        </w:rPr>
        <w:t xml:space="preserve">The analysis </w:t>
      </w:r>
      <w:r w:rsidR="00537D0D">
        <w:rPr>
          <w:lang w:val="en-GB"/>
        </w:rPr>
        <w:t>uses</w:t>
      </w:r>
      <w:r w:rsidR="001B0D03" w:rsidRPr="000050B8">
        <w:rPr>
          <w:lang w:val="en-GB"/>
        </w:rPr>
        <w:t xml:space="preserve"> </w:t>
      </w:r>
      <w:r w:rsidR="001C7D18" w:rsidRPr="000050B8">
        <w:rPr>
          <w:lang w:val="en-GB"/>
        </w:rPr>
        <w:t>three waves of the Norwegian Community Innovation Survey (CI</w:t>
      </w:r>
      <w:r w:rsidR="00E73F39" w:rsidRPr="000050B8">
        <w:rPr>
          <w:lang w:val="en-GB"/>
        </w:rPr>
        <w:t>S</w:t>
      </w:r>
      <w:r w:rsidR="001C7D18" w:rsidRPr="000050B8">
        <w:rPr>
          <w:lang w:val="en-GB"/>
        </w:rPr>
        <w:t>) between 2006 and 2010</w:t>
      </w:r>
      <w:r w:rsidR="00E63EA5">
        <w:rPr>
          <w:lang w:val="en-GB"/>
        </w:rPr>
        <w:t xml:space="preserve"> </w:t>
      </w:r>
      <w:r w:rsidR="00537D0D">
        <w:rPr>
          <w:lang w:val="en-GB"/>
        </w:rPr>
        <w:t xml:space="preserve">to </w:t>
      </w:r>
      <w:r w:rsidR="00E63EA5">
        <w:rPr>
          <w:lang w:val="en-GB"/>
        </w:rPr>
        <w:t>build an unbalanced panel of more than 6000 observations</w:t>
      </w:r>
      <w:r w:rsidR="001C7D18" w:rsidRPr="000050B8">
        <w:rPr>
          <w:lang w:val="en-GB"/>
        </w:rPr>
        <w:t xml:space="preserve">. The paper examines the extent to which local </w:t>
      </w:r>
      <w:r w:rsidR="00E63EA5">
        <w:rPr>
          <w:lang w:val="en-GB"/>
        </w:rPr>
        <w:t xml:space="preserve">R&amp;D </w:t>
      </w:r>
      <w:r w:rsidR="001C7D18" w:rsidRPr="000050B8">
        <w:rPr>
          <w:lang w:val="en-GB"/>
        </w:rPr>
        <w:t xml:space="preserve">collaboration matters more or less for innovation than </w:t>
      </w:r>
      <w:r w:rsidR="00E63EA5">
        <w:rPr>
          <w:lang w:val="en-GB"/>
        </w:rPr>
        <w:t xml:space="preserve">R&amp;D </w:t>
      </w:r>
      <w:r w:rsidR="001C7D18" w:rsidRPr="000050B8">
        <w:rPr>
          <w:lang w:val="en-GB"/>
        </w:rPr>
        <w:t xml:space="preserve">collaboration at greater geographical distance (both within and outside Norway) and whether the impact of local collaboration </w:t>
      </w:r>
      <w:r w:rsidR="00E63EA5">
        <w:rPr>
          <w:lang w:val="en-GB"/>
        </w:rPr>
        <w:t>on</w:t>
      </w:r>
      <w:r w:rsidR="00E63EA5" w:rsidRPr="000050B8">
        <w:rPr>
          <w:lang w:val="en-GB"/>
        </w:rPr>
        <w:t xml:space="preserve"> </w:t>
      </w:r>
      <w:r w:rsidR="001C7D18" w:rsidRPr="000050B8">
        <w:rPr>
          <w:lang w:val="en-GB"/>
        </w:rPr>
        <w:t>innovation is greater in larger urban areas than in small cities</w:t>
      </w:r>
      <w:r w:rsidR="002A35F3">
        <w:rPr>
          <w:lang w:val="en-GB"/>
        </w:rPr>
        <w:t>, towns,</w:t>
      </w:r>
      <w:r w:rsidR="001C7D18" w:rsidRPr="000050B8">
        <w:rPr>
          <w:lang w:val="en-GB"/>
        </w:rPr>
        <w:t xml:space="preserve"> and rural regions.</w:t>
      </w:r>
    </w:p>
    <w:p w14:paraId="77C2FF3E" w14:textId="6C065DD1" w:rsidR="001C7D18" w:rsidRPr="000050B8" w:rsidRDefault="001C7D18" w:rsidP="00673D53">
      <w:pPr>
        <w:spacing w:line="480" w:lineRule="auto"/>
        <w:rPr>
          <w:lang w:val="en-GB"/>
        </w:rPr>
      </w:pPr>
      <w:r w:rsidRPr="000050B8">
        <w:rPr>
          <w:lang w:val="en-GB"/>
        </w:rPr>
        <w:t>The</w:t>
      </w:r>
      <w:r w:rsidR="001B0D03" w:rsidRPr="000050B8">
        <w:rPr>
          <w:lang w:val="en-GB"/>
        </w:rPr>
        <w:t xml:space="preserve"> results </w:t>
      </w:r>
      <w:r w:rsidR="00937856" w:rsidRPr="000050B8">
        <w:rPr>
          <w:lang w:val="en-GB"/>
        </w:rPr>
        <w:t xml:space="preserve">challenge </w:t>
      </w:r>
      <w:r w:rsidRPr="000050B8">
        <w:rPr>
          <w:lang w:val="en-GB"/>
        </w:rPr>
        <w:t>the</w:t>
      </w:r>
      <w:r w:rsidR="00937856" w:rsidRPr="000050B8">
        <w:rPr>
          <w:lang w:val="en-GB"/>
        </w:rPr>
        <w:t xml:space="preserve"> prevailing </w:t>
      </w:r>
      <w:r w:rsidRPr="000050B8">
        <w:rPr>
          <w:lang w:val="en-GB"/>
        </w:rPr>
        <w:t>view that innovation benefits from frequent interaction in close geographical proximity</w:t>
      </w:r>
      <w:r w:rsidR="00937856" w:rsidRPr="000050B8">
        <w:rPr>
          <w:lang w:val="en-GB"/>
        </w:rPr>
        <w:t xml:space="preserve">. </w:t>
      </w:r>
      <w:r w:rsidR="00E63EA5">
        <w:rPr>
          <w:lang w:val="en-GB"/>
        </w:rPr>
        <w:t xml:space="preserve">Local collaboration </w:t>
      </w:r>
      <w:r w:rsidR="00FA29EF">
        <w:rPr>
          <w:lang w:val="en-GB"/>
        </w:rPr>
        <w:t>is only associated with</w:t>
      </w:r>
      <w:r w:rsidR="009B54F6" w:rsidRPr="000050B8">
        <w:rPr>
          <w:lang w:val="en-GB"/>
        </w:rPr>
        <w:t xml:space="preserve"> greater levels of</w:t>
      </w:r>
      <w:r w:rsidR="00937856" w:rsidRPr="000050B8">
        <w:rPr>
          <w:lang w:val="en-GB"/>
        </w:rPr>
        <w:t xml:space="preserve"> process and organisational innovation</w:t>
      </w:r>
      <w:r w:rsidR="00E63EA5">
        <w:rPr>
          <w:lang w:val="en-GB"/>
        </w:rPr>
        <w:t>, while it</w:t>
      </w:r>
      <w:r w:rsidR="00E63EA5" w:rsidRPr="000050B8">
        <w:rPr>
          <w:lang w:val="en-GB"/>
        </w:rPr>
        <w:t xml:space="preserve"> </w:t>
      </w:r>
      <w:r w:rsidR="009B54F6" w:rsidRPr="000050B8">
        <w:rPr>
          <w:lang w:val="en-GB"/>
        </w:rPr>
        <w:t>seem</w:t>
      </w:r>
      <w:r w:rsidR="00E63EA5">
        <w:rPr>
          <w:lang w:val="en-GB"/>
        </w:rPr>
        <w:t>s</w:t>
      </w:r>
      <w:r w:rsidR="009B54F6" w:rsidRPr="000050B8">
        <w:rPr>
          <w:lang w:val="en-GB"/>
        </w:rPr>
        <w:t xml:space="preserve"> to be mostly irrelevant for other types of innovation</w:t>
      </w:r>
      <w:r w:rsidR="00937856" w:rsidRPr="000050B8">
        <w:rPr>
          <w:lang w:val="en-GB"/>
        </w:rPr>
        <w:t>. Product, new</w:t>
      </w:r>
      <w:r w:rsidR="00471165" w:rsidRPr="000050B8">
        <w:rPr>
          <w:lang w:val="en-GB"/>
        </w:rPr>
        <w:t>-</w:t>
      </w:r>
      <w:r w:rsidR="00937856" w:rsidRPr="000050B8">
        <w:rPr>
          <w:lang w:val="en-GB"/>
        </w:rPr>
        <w:t>to</w:t>
      </w:r>
      <w:r w:rsidR="00471165" w:rsidRPr="000050B8">
        <w:rPr>
          <w:lang w:val="en-GB"/>
        </w:rPr>
        <w:t>-</w:t>
      </w:r>
      <w:r w:rsidR="00937856" w:rsidRPr="000050B8">
        <w:rPr>
          <w:lang w:val="en-GB"/>
        </w:rPr>
        <w:t xml:space="preserve">market, and marketing innovation rely on other forms of networking and mainly on connections to agents located outside Norway. Moreover, the </w:t>
      </w:r>
      <w:r w:rsidR="00A90A05" w:rsidRPr="000050B8">
        <w:rPr>
          <w:lang w:val="en-GB"/>
        </w:rPr>
        <w:t xml:space="preserve">benefits from collaborating </w:t>
      </w:r>
      <w:r w:rsidR="00937856" w:rsidRPr="000050B8">
        <w:rPr>
          <w:lang w:val="en-GB"/>
        </w:rPr>
        <w:t xml:space="preserve">locally, nationally, or internationally </w:t>
      </w:r>
      <w:r w:rsidR="00E63EA5">
        <w:rPr>
          <w:lang w:val="en-GB"/>
        </w:rPr>
        <w:t xml:space="preserve">in innovation projects </w:t>
      </w:r>
      <w:r w:rsidR="00A90A05" w:rsidRPr="000050B8">
        <w:rPr>
          <w:lang w:val="en-GB"/>
        </w:rPr>
        <w:t xml:space="preserve">are </w:t>
      </w:r>
      <w:r w:rsidR="00937856" w:rsidRPr="000050B8">
        <w:rPr>
          <w:lang w:val="en-GB"/>
        </w:rPr>
        <w:t xml:space="preserve">unrelated to the urban or rural location of </w:t>
      </w:r>
      <w:r w:rsidR="00A90A05" w:rsidRPr="000050B8">
        <w:rPr>
          <w:lang w:val="en-GB"/>
        </w:rPr>
        <w:t xml:space="preserve">the </w:t>
      </w:r>
      <w:r w:rsidR="00937856" w:rsidRPr="000050B8">
        <w:rPr>
          <w:lang w:val="en-GB"/>
        </w:rPr>
        <w:t>firm.</w:t>
      </w:r>
    </w:p>
    <w:p w14:paraId="049A6D6E" w14:textId="009895B5" w:rsidR="00F7678E" w:rsidRPr="000050B8" w:rsidRDefault="00937856" w:rsidP="00CA081E">
      <w:pPr>
        <w:spacing w:line="480" w:lineRule="auto"/>
        <w:rPr>
          <w:sz w:val="28"/>
          <w:lang w:val="en-GB"/>
        </w:rPr>
      </w:pPr>
      <w:r w:rsidRPr="000050B8">
        <w:rPr>
          <w:lang w:val="en-GB"/>
        </w:rPr>
        <w:t xml:space="preserve">The paper proceeds by </w:t>
      </w:r>
      <w:r w:rsidR="00CA081E" w:rsidRPr="000050B8">
        <w:rPr>
          <w:lang w:val="en-GB"/>
        </w:rPr>
        <w:t>reviewing</w:t>
      </w:r>
      <w:r w:rsidRPr="000050B8">
        <w:rPr>
          <w:lang w:val="en-GB"/>
        </w:rPr>
        <w:t xml:space="preserve"> the debate on </w:t>
      </w:r>
      <w:r w:rsidR="00CA081E" w:rsidRPr="000050B8">
        <w:rPr>
          <w:lang w:val="en-GB"/>
        </w:rPr>
        <w:t xml:space="preserve">whether </w:t>
      </w:r>
      <w:r w:rsidRPr="000050B8">
        <w:rPr>
          <w:lang w:val="en-GB"/>
        </w:rPr>
        <w:t xml:space="preserve">local collaboration and its facilitation in urban environments leads to greater innovation. The methods and data are presented in </w:t>
      </w:r>
      <w:r w:rsidRPr="000050B8">
        <w:rPr>
          <w:lang w:val="en-GB"/>
        </w:rPr>
        <w:lastRenderedPageBreak/>
        <w:t>section 3, while section 4 focuses on the empirical analysis. The paper concludes with a summary of the results and some implications for further analysis and policy.</w:t>
      </w:r>
    </w:p>
    <w:p w14:paraId="07FF0C69" w14:textId="77777777" w:rsidR="00FC2984" w:rsidRPr="000050B8" w:rsidRDefault="00FC2984" w:rsidP="00CA081E">
      <w:pPr>
        <w:spacing w:line="480" w:lineRule="auto"/>
        <w:rPr>
          <w:sz w:val="28"/>
          <w:lang w:val="en-GB"/>
        </w:rPr>
      </w:pPr>
    </w:p>
    <w:p w14:paraId="32D6A6B9" w14:textId="3D4D6B2C" w:rsidR="00E75286" w:rsidRPr="00EB63F1" w:rsidRDefault="00937856" w:rsidP="00EB63F1">
      <w:pPr>
        <w:pStyle w:val="Heading2"/>
        <w:numPr>
          <w:ilvl w:val="0"/>
          <w:numId w:val="1"/>
        </w:numPr>
        <w:spacing w:line="480" w:lineRule="auto"/>
        <w:rPr>
          <w:caps/>
          <w:sz w:val="28"/>
          <w:lang w:val="en-GB"/>
        </w:rPr>
      </w:pPr>
      <w:r w:rsidRPr="00EB63F1">
        <w:rPr>
          <w:caps/>
          <w:sz w:val="28"/>
          <w:lang w:val="en-GB"/>
        </w:rPr>
        <w:t>Does collaboration in cities lead to greater innovation?</w:t>
      </w:r>
    </w:p>
    <w:p w14:paraId="6FC6D91A" w14:textId="05164C17" w:rsidR="00E75286" w:rsidRPr="000050B8" w:rsidRDefault="00EE1076" w:rsidP="00C43B94">
      <w:pPr>
        <w:spacing w:line="480" w:lineRule="auto"/>
        <w:rPr>
          <w:lang w:val="en-GB"/>
        </w:rPr>
      </w:pPr>
      <w:r w:rsidRPr="000050B8">
        <w:rPr>
          <w:lang w:val="en-GB"/>
        </w:rPr>
        <w:t>Recent developments in urban economics have put cities at the heart of the innovative process. Technological change and globalisation, r</w:t>
      </w:r>
      <w:r w:rsidR="000829B3" w:rsidRPr="000050B8">
        <w:rPr>
          <w:lang w:val="en-GB"/>
        </w:rPr>
        <w:t>ather than leading to the “death of distance” (</w:t>
      </w:r>
      <w:proofErr w:type="spellStart"/>
      <w:r w:rsidR="000829B3" w:rsidRPr="000050B8">
        <w:rPr>
          <w:lang w:val="en-GB"/>
        </w:rPr>
        <w:t>Cairncross</w:t>
      </w:r>
      <w:proofErr w:type="spellEnd"/>
      <w:r w:rsidR="001D2316">
        <w:rPr>
          <w:lang w:val="en-GB"/>
        </w:rPr>
        <w:t>,</w:t>
      </w:r>
      <w:r w:rsidR="000829B3" w:rsidRPr="000050B8">
        <w:rPr>
          <w:lang w:val="en-GB"/>
        </w:rPr>
        <w:t xml:space="preserve"> 2001) or a “flat world” (Friedman</w:t>
      </w:r>
      <w:r w:rsidR="001D2316">
        <w:rPr>
          <w:lang w:val="en-GB"/>
        </w:rPr>
        <w:t>,</w:t>
      </w:r>
      <w:r w:rsidR="000829B3" w:rsidRPr="000050B8">
        <w:rPr>
          <w:lang w:val="en-GB"/>
        </w:rPr>
        <w:t xml:space="preserve"> 2005), </w:t>
      </w:r>
      <w:r w:rsidRPr="000050B8">
        <w:rPr>
          <w:lang w:val="en-GB"/>
        </w:rPr>
        <w:t>ha</w:t>
      </w:r>
      <w:r w:rsidR="005A7C65" w:rsidRPr="000050B8">
        <w:rPr>
          <w:lang w:val="en-GB"/>
        </w:rPr>
        <w:t>ve</w:t>
      </w:r>
      <w:r w:rsidRPr="000050B8">
        <w:rPr>
          <w:lang w:val="en-GB"/>
        </w:rPr>
        <w:t xml:space="preserve"> been intrinsically</w:t>
      </w:r>
      <w:r w:rsidR="000829B3" w:rsidRPr="000050B8">
        <w:rPr>
          <w:lang w:val="en-GB"/>
        </w:rPr>
        <w:t xml:space="preserve"> </w:t>
      </w:r>
      <w:r w:rsidR="00730552" w:rsidRPr="000050B8">
        <w:rPr>
          <w:lang w:val="en-GB"/>
        </w:rPr>
        <w:t>associated with an increasing concentration of economic</w:t>
      </w:r>
      <w:r w:rsidR="00BF77C7" w:rsidRPr="000050B8">
        <w:rPr>
          <w:lang w:val="en-GB"/>
        </w:rPr>
        <w:t xml:space="preserve"> and innovative</w:t>
      </w:r>
      <w:r w:rsidR="00730552" w:rsidRPr="000050B8">
        <w:rPr>
          <w:lang w:val="en-GB"/>
        </w:rPr>
        <w:t xml:space="preserve"> activities (Florida</w:t>
      </w:r>
      <w:r w:rsidR="001D2316">
        <w:rPr>
          <w:lang w:val="en-GB"/>
        </w:rPr>
        <w:t>,</w:t>
      </w:r>
      <w:r w:rsidR="00730552" w:rsidRPr="000050B8">
        <w:rPr>
          <w:lang w:val="en-GB"/>
        </w:rPr>
        <w:t xml:space="preserve"> 2005; Scott </w:t>
      </w:r>
      <w:r w:rsidR="001D2316">
        <w:rPr>
          <w:lang w:val="en-GB"/>
        </w:rPr>
        <w:t>&amp;</w:t>
      </w:r>
      <w:r w:rsidR="001D2316" w:rsidRPr="000050B8">
        <w:rPr>
          <w:lang w:val="en-GB"/>
        </w:rPr>
        <w:t xml:space="preserve"> </w:t>
      </w:r>
      <w:r w:rsidR="00730552" w:rsidRPr="000050B8">
        <w:rPr>
          <w:lang w:val="en-GB"/>
        </w:rPr>
        <w:t>Storper</w:t>
      </w:r>
      <w:r w:rsidR="001D2316">
        <w:rPr>
          <w:lang w:val="en-GB"/>
        </w:rPr>
        <w:t>,</w:t>
      </w:r>
      <w:r w:rsidR="00730552" w:rsidRPr="000050B8">
        <w:rPr>
          <w:lang w:val="en-GB"/>
        </w:rPr>
        <w:t xml:space="preserve"> 2007).</w:t>
      </w:r>
      <w:r w:rsidR="00BF77C7" w:rsidRPr="000050B8">
        <w:rPr>
          <w:lang w:val="en-GB"/>
        </w:rPr>
        <w:t xml:space="preserve"> </w:t>
      </w:r>
      <w:r w:rsidR="00A76597" w:rsidRPr="000050B8">
        <w:rPr>
          <w:lang w:val="en-GB"/>
        </w:rPr>
        <w:t>In particular, ever more</w:t>
      </w:r>
      <w:r w:rsidR="00BF77C7" w:rsidRPr="000050B8">
        <w:rPr>
          <w:lang w:val="en-GB"/>
        </w:rPr>
        <w:t xml:space="preserve"> innovative </w:t>
      </w:r>
      <w:r w:rsidR="00D01FFB" w:rsidRPr="000050B8">
        <w:rPr>
          <w:lang w:val="en-GB"/>
        </w:rPr>
        <w:t>processes</w:t>
      </w:r>
      <w:r w:rsidR="001F3DD1" w:rsidRPr="000050B8">
        <w:rPr>
          <w:lang w:val="en-GB"/>
        </w:rPr>
        <w:t xml:space="preserve"> take place </w:t>
      </w:r>
      <w:r w:rsidR="00A76597" w:rsidRPr="000050B8">
        <w:rPr>
          <w:lang w:val="en-GB"/>
        </w:rPr>
        <w:t>in urban areas</w:t>
      </w:r>
      <w:r w:rsidR="00BF77C7" w:rsidRPr="000050B8">
        <w:rPr>
          <w:lang w:val="en-GB"/>
        </w:rPr>
        <w:t xml:space="preserve"> (McCann</w:t>
      </w:r>
      <w:r w:rsidR="001D2316">
        <w:rPr>
          <w:lang w:val="en-GB"/>
        </w:rPr>
        <w:t>,</w:t>
      </w:r>
      <w:r w:rsidR="00BF77C7" w:rsidRPr="000050B8">
        <w:rPr>
          <w:lang w:val="en-GB"/>
        </w:rPr>
        <w:t xml:space="preserve"> 2008)</w:t>
      </w:r>
      <w:r w:rsidR="00EA6222" w:rsidRPr="000050B8">
        <w:rPr>
          <w:lang w:val="en-GB"/>
        </w:rPr>
        <w:t>.</w:t>
      </w:r>
      <w:r w:rsidR="00304BC0" w:rsidRPr="000050B8">
        <w:rPr>
          <w:lang w:val="en-GB"/>
        </w:rPr>
        <w:t xml:space="preserve"> </w:t>
      </w:r>
      <w:r w:rsidR="00EA6222" w:rsidRPr="000050B8">
        <w:rPr>
          <w:lang w:val="en-GB"/>
        </w:rPr>
        <w:t xml:space="preserve">Agglomeration in cities </w:t>
      </w:r>
      <w:r w:rsidR="007A6646">
        <w:rPr>
          <w:lang w:val="en-GB"/>
        </w:rPr>
        <w:t>facilitate</w:t>
      </w:r>
      <w:r w:rsidR="007A6646" w:rsidRPr="000050B8">
        <w:rPr>
          <w:lang w:val="en-GB"/>
        </w:rPr>
        <w:t xml:space="preserve"> </w:t>
      </w:r>
      <w:r w:rsidR="00EA6222" w:rsidRPr="000050B8">
        <w:rPr>
          <w:lang w:val="en-GB"/>
        </w:rPr>
        <w:t xml:space="preserve">mechanisms that </w:t>
      </w:r>
      <w:r w:rsidR="007A6646">
        <w:rPr>
          <w:lang w:val="en-GB"/>
        </w:rPr>
        <w:t>drive</w:t>
      </w:r>
      <w:r w:rsidR="007A6646" w:rsidRPr="000050B8">
        <w:rPr>
          <w:lang w:val="en-GB"/>
        </w:rPr>
        <w:t xml:space="preserve"> </w:t>
      </w:r>
      <w:r w:rsidR="005A7C65" w:rsidRPr="000050B8">
        <w:rPr>
          <w:lang w:val="en-GB"/>
        </w:rPr>
        <w:t>such concentration by</w:t>
      </w:r>
      <w:r w:rsidR="001F3DD1" w:rsidRPr="000050B8">
        <w:rPr>
          <w:lang w:val="en-GB"/>
        </w:rPr>
        <w:t xml:space="preserve"> enticing </w:t>
      </w:r>
      <w:r w:rsidR="00EA6222" w:rsidRPr="000050B8">
        <w:rPr>
          <w:lang w:val="en-GB"/>
        </w:rPr>
        <w:t>formal and informal interaction and knowledge</w:t>
      </w:r>
      <w:r w:rsidR="00B015A5" w:rsidRPr="000050B8">
        <w:rPr>
          <w:lang w:val="en-GB"/>
        </w:rPr>
        <w:t xml:space="preserve"> exchange</w:t>
      </w:r>
      <w:r w:rsidR="00EA6222" w:rsidRPr="000050B8">
        <w:rPr>
          <w:lang w:val="en-GB"/>
        </w:rPr>
        <w:t xml:space="preserve"> between innovative actors (Storper </w:t>
      </w:r>
      <w:r w:rsidR="001D2316">
        <w:rPr>
          <w:lang w:val="en-GB"/>
        </w:rPr>
        <w:t>&amp;</w:t>
      </w:r>
      <w:r w:rsidR="001D2316" w:rsidRPr="000050B8">
        <w:rPr>
          <w:lang w:val="en-GB"/>
        </w:rPr>
        <w:t xml:space="preserve"> </w:t>
      </w:r>
      <w:r w:rsidR="00EA6222" w:rsidRPr="000050B8">
        <w:rPr>
          <w:lang w:val="en-GB"/>
        </w:rPr>
        <w:t>Venables</w:t>
      </w:r>
      <w:r w:rsidR="001D2316">
        <w:rPr>
          <w:lang w:val="en-GB"/>
        </w:rPr>
        <w:t>,</w:t>
      </w:r>
      <w:r w:rsidR="00EA6222" w:rsidRPr="000050B8">
        <w:rPr>
          <w:lang w:val="en-GB"/>
        </w:rPr>
        <w:t xml:space="preserve"> 2003; Glaeser</w:t>
      </w:r>
      <w:r w:rsidR="001D2316">
        <w:rPr>
          <w:lang w:val="en-GB"/>
        </w:rPr>
        <w:t>,</w:t>
      </w:r>
      <w:r w:rsidR="00EA6222" w:rsidRPr="000050B8">
        <w:rPr>
          <w:lang w:val="en-GB"/>
        </w:rPr>
        <w:t xml:space="preserve"> 2011). </w:t>
      </w:r>
      <w:r w:rsidR="005A7C65" w:rsidRPr="000050B8">
        <w:rPr>
          <w:lang w:val="en-GB"/>
        </w:rPr>
        <w:t>T</w:t>
      </w:r>
      <w:r w:rsidR="00EA6222" w:rsidRPr="000050B8">
        <w:rPr>
          <w:lang w:val="en-GB"/>
        </w:rPr>
        <w:t xml:space="preserve">he bigger the city, the greater the capacity for different types of local </w:t>
      </w:r>
      <w:r w:rsidR="005A7C65" w:rsidRPr="000050B8">
        <w:rPr>
          <w:lang w:val="en-GB"/>
        </w:rPr>
        <w:t>interactions</w:t>
      </w:r>
      <w:r w:rsidR="00EA6222" w:rsidRPr="000050B8">
        <w:rPr>
          <w:lang w:val="en-GB"/>
        </w:rPr>
        <w:t>, and</w:t>
      </w:r>
      <w:r w:rsidR="005A7C65" w:rsidRPr="000050B8">
        <w:rPr>
          <w:lang w:val="en-GB"/>
        </w:rPr>
        <w:t xml:space="preserve"> the</w:t>
      </w:r>
      <w:r w:rsidR="00EA6222" w:rsidRPr="000050B8">
        <w:rPr>
          <w:lang w:val="en-GB"/>
        </w:rPr>
        <w:t xml:space="preserve"> greater the innovation and productivity increases (Combes</w:t>
      </w:r>
      <w:r w:rsidR="001D2316">
        <w:rPr>
          <w:lang w:val="en-GB"/>
        </w:rPr>
        <w:t xml:space="preserve">, Duranton, </w:t>
      </w:r>
      <w:proofErr w:type="spellStart"/>
      <w:r w:rsidR="001D2316">
        <w:rPr>
          <w:lang w:val="en-GB"/>
        </w:rPr>
        <w:t>Gobillon</w:t>
      </w:r>
      <w:proofErr w:type="spellEnd"/>
      <w:r w:rsidR="001D2316">
        <w:rPr>
          <w:lang w:val="en-GB"/>
        </w:rPr>
        <w:t>, Puga, &amp; Roux,</w:t>
      </w:r>
      <w:r w:rsidR="00EA6222" w:rsidRPr="000050B8">
        <w:rPr>
          <w:lang w:val="en-GB"/>
        </w:rPr>
        <w:t xml:space="preserve"> 2012). Hence, to be innovative</w:t>
      </w:r>
      <w:r w:rsidR="00EF5C64" w:rsidRPr="000050B8">
        <w:rPr>
          <w:lang w:val="en-GB"/>
        </w:rPr>
        <w:t>,</w:t>
      </w:r>
      <w:r w:rsidR="00EA6222" w:rsidRPr="000050B8">
        <w:rPr>
          <w:lang w:val="en-GB"/>
        </w:rPr>
        <w:t xml:space="preserve"> firms</w:t>
      </w:r>
      <w:r w:rsidR="005A7C65" w:rsidRPr="000050B8">
        <w:rPr>
          <w:lang w:val="en-GB"/>
        </w:rPr>
        <w:t xml:space="preserve"> supposedly need </w:t>
      </w:r>
      <w:r w:rsidR="00EA6222" w:rsidRPr="000050B8">
        <w:rPr>
          <w:lang w:val="en-GB"/>
        </w:rPr>
        <w:t>to be in cities,</w:t>
      </w:r>
      <w:r w:rsidR="005A7C65" w:rsidRPr="000050B8">
        <w:rPr>
          <w:lang w:val="en-GB"/>
        </w:rPr>
        <w:t xml:space="preserve"> i.e.</w:t>
      </w:r>
      <w:r w:rsidR="00EA6222" w:rsidRPr="000050B8">
        <w:rPr>
          <w:lang w:val="en-GB"/>
        </w:rPr>
        <w:t xml:space="preserve"> they need to ‘be there’ where new knowledge is generated and diffuse</w:t>
      </w:r>
      <w:r w:rsidR="00926FB7" w:rsidRPr="000050B8">
        <w:rPr>
          <w:lang w:val="en-GB"/>
        </w:rPr>
        <w:t>d</w:t>
      </w:r>
      <w:r w:rsidR="00EA6222" w:rsidRPr="000050B8">
        <w:rPr>
          <w:lang w:val="en-GB"/>
        </w:rPr>
        <w:t xml:space="preserve"> through intensive local</w:t>
      </w:r>
      <w:r w:rsidR="001F3DD1" w:rsidRPr="000050B8">
        <w:rPr>
          <w:lang w:val="en-GB"/>
        </w:rPr>
        <w:t xml:space="preserve"> exchanges </w:t>
      </w:r>
      <w:r w:rsidR="00EA6222" w:rsidRPr="000050B8">
        <w:rPr>
          <w:lang w:val="en-GB"/>
        </w:rPr>
        <w:t>(Gertler</w:t>
      </w:r>
      <w:r w:rsidR="001D2316">
        <w:rPr>
          <w:lang w:val="en-GB"/>
        </w:rPr>
        <w:t>,</w:t>
      </w:r>
      <w:r w:rsidR="00EA6222" w:rsidRPr="000050B8">
        <w:rPr>
          <w:lang w:val="en-GB"/>
        </w:rPr>
        <w:t xml:space="preserve"> 2003). </w:t>
      </w:r>
      <w:r w:rsidR="00926FB7" w:rsidRPr="000050B8">
        <w:rPr>
          <w:lang w:val="en-GB"/>
        </w:rPr>
        <w:t xml:space="preserve">Cities, in general, and city size, in particular, </w:t>
      </w:r>
      <w:r w:rsidR="005A7C65" w:rsidRPr="000050B8">
        <w:rPr>
          <w:lang w:val="en-GB"/>
        </w:rPr>
        <w:t xml:space="preserve">thus </w:t>
      </w:r>
      <w:r w:rsidR="00926FB7" w:rsidRPr="000050B8">
        <w:rPr>
          <w:lang w:val="en-GB"/>
        </w:rPr>
        <w:t xml:space="preserve">matter for innovativeness, productivity and economic growth (Glaeser </w:t>
      </w:r>
      <w:r w:rsidR="001D2316">
        <w:rPr>
          <w:lang w:val="en-GB"/>
        </w:rPr>
        <w:t>&amp;</w:t>
      </w:r>
      <w:r w:rsidR="001D2316" w:rsidRPr="000050B8">
        <w:rPr>
          <w:lang w:val="en-GB"/>
        </w:rPr>
        <w:t xml:space="preserve"> </w:t>
      </w:r>
      <w:r w:rsidR="00926FB7" w:rsidRPr="000050B8">
        <w:rPr>
          <w:lang w:val="en-GB"/>
        </w:rPr>
        <w:t>Kerr</w:t>
      </w:r>
      <w:r w:rsidR="001D2316">
        <w:rPr>
          <w:lang w:val="en-GB"/>
        </w:rPr>
        <w:t>,</w:t>
      </w:r>
      <w:r w:rsidR="00926FB7" w:rsidRPr="000050B8">
        <w:rPr>
          <w:lang w:val="en-GB"/>
        </w:rPr>
        <w:t xml:space="preserve"> 2009; Puga</w:t>
      </w:r>
      <w:r w:rsidR="001D2316">
        <w:rPr>
          <w:lang w:val="en-GB"/>
        </w:rPr>
        <w:t>,</w:t>
      </w:r>
      <w:r w:rsidR="00926FB7" w:rsidRPr="000050B8">
        <w:rPr>
          <w:lang w:val="en-GB"/>
        </w:rPr>
        <w:t xml:space="preserve"> 2010; De la Roca </w:t>
      </w:r>
      <w:r w:rsidR="001D2316">
        <w:rPr>
          <w:lang w:val="en-GB"/>
        </w:rPr>
        <w:t>&amp;</w:t>
      </w:r>
      <w:r w:rsidR="001D2316" w:rsidRPr="000050B8">
        <w:rPr>
          <w:lang w:val="en-GB"/>
        </w:rPr>
        <w:t xml:space="preserve"> </w:t>
      </w:r>
      <w:r w:rsidR="00926FB7" w:rsidRPr="000050B8">
        <w:rPr>
          <w:lang w:val="en-GB"/>
        </w:rPr>
        <w:t>Puga</w:t>
      </w:r>
      <w:r w:rsidR="001D2316">
        <w:rPr>
          <w:lang w:val="en-GB"/>
        </w:rPr>
        <w:t>,</w:t>
      </w:r>
      <w:r w:rsidR="00774EFC" w:rsidRPr="000050B8">
        <w:rPr>
          <w:lang w:val="en-GB"/>
        </w:rPr>
        <w:t xml:space="preserve"> </w:t>
      </w:r>
      <w:r w:rsidR="00926FB7" w:rsidRPr="000050B8">
        <w:rPr>
          <w:lang w:val="en-GB"/>
        </w:rPr>
        <w:t>2017</w:t>
      </w:r>
      <w:r w:rsidR="004C1E2A">
        <w:rPr>
          <w:lang w:val="en-GB"/>
        </w:rPr>
        <w:t>; Soo</w:t>
      </w:r>
      <w:r w:rsidR="001D2316">
        <w:rPr>
          <w:lang w:val="en-GB"/>
        </w:rPr>
        <w:t>,</w:t>
      </w:r>
      <w:r w:rsidR="004C1E2A">
        <w:rPr>
          <w:lang w:val="en-GB"/>
        </w:rPr>
        <w:t xml:space="preserve"> 2018</w:t>
      </w:r>
      <w:r w:rsidR="00926FB7" w:rsidRPr="000050B8">
        <w:rPr>
          <w:lang w:val="en-GB"/>
        </w:rPr>
        <w:t xml:space="preserve">). </w:t>
      </w:r>
      <w:r w:rsidR="005A7C65" w:rsidRPr="000050B8">
        <w:rPr>
          <w:lang w:val="en-GB"/>
        </w:rPr>
        <w:t>From this perspective, l</w:t>
      </w:r>
      <w:r w:rsidR="00926FB7" w:rsidRPr="000050B8">
        <w:rPr>
          <w:lang w:val="en-GB"/>
        </w:rPr>
        <w:t>ocation in cities – and the bigger city, the better – becomes a must for innovati</w:t>
      </w:r>
      <w:r w:rsidR="004D6B79">
        <w:rPr>
          <w:lang w:val="en-GB"/>
        </w:rPr>
        <w:t>on</w:t>
      </w:r>
      <w:r w:rsidR="00926FB7" w:rsidRPr="000050B8">
        <w:rPr>
          <w:lang w:val="en-GB"/>
        </w:rPr>
        <w:t>, productiv</w:t>
      </w:r>
      <w:r w:rsidR="004D6B79">
        <w:rPr>
          <w:lang w:val="en-GB"/>
        </w:rPr>
        <w:t>ity</w:t>
      </w:r>
      <w:r w:rsidR="00926FB7" w:rsidRPr="000050B8">
        <w:rPr>
          <w:lang w:val="en-GB"/>
        </w:rPr>
        <w:t xml:space="preserve"> and competitive</w:t>
      </w:r>
      <w:r w:rsidR="004D6B79">
        <w:rPr>
          <w:lang w:val="en-GB"/>
        </w:rPr>
        <w:t>ness</w:t>
      </w:r>
      <w:r w:rsidR="00926FB7" w:rsidRPr="000050B8">
        <w:rPr>
          <w:lang w:val="en-GB"/>
        </w:rPr>
        <w:t xml:space="preserve">. By contrast, location in more isolated rural areas </w:t>
      </w:r>
      <w:r w:rsidR="00A139C5" w:rsidRPr="000050B8">
        <w:rPr>
          <w:lang w:val="en-GB"/>
        </w:rPr>
        <w:t xml:space="preserve">is deemed to </w:t>
      </w:r>
      <w:r w:rsidR="00926FB7" w:rsidRPr="000050B8">
        <w:rPr>
          <w:lang w:val="en-GB"/>
        </w:rPr>
        <w:t>represent a huge handicap for innovation</w:t>
      </w:r>
      <w:r w:rsidR="000556F3">
        <w:rPr>
          <w:lang w:val="en-GB"/>
        </w:rPr>
        <w:t xml:space="preserve"> (Soto </w:t>
      </w:r>
      <w:r w:rsidR="001D2316">
        <w:rPr>
          <w:lang w:val="en-GB"/>
        </w:rPr>
        <w:t xml:space="preserve">&amp; </w:t>
      </w:r>
      <w:r w:rsidR="000556F3">
        <w:rPr>
          <w:lang w:val="en-GB"/>
        </w:rPr>
        <w:t>Paredes</w:t>
      </w:r>
      <w:r w:rsidR="001D2316">
        <w:rPr>
          <w:lang w:val="en-GB"/>
        </w:rPr>
        <w:t>,</w:t>
      </w:r>
      <w:r w:rsidR="000556F3">
        <w:rPr>
          <w:lang w:val="en-GB"/>
        </w:rPr>
        <w:t xml:space="preserve"> 2016)</w:t>
      </w:r>
      <w:r w:rsidR="00926FB7" w:rsidRPr="000050B8">
        <w:rPr>
          <w:lang w:val="en-GB"/>
        </w:rPr>
        <w:t xml:space="preserve">. </w:t>
      </w:r>
      <w:r w:rsidR="00A139C5" w:rsidRPr="000050B8">
        <w:rPr>
          <w:lang w:val="en-GB"/>
        </w:rPr>
        <w:t>C</w:t>
      </w:r>
      <w:r w:rsidR="009D1BE4" w:rsidRPr="000050B8">
        <w:rPr>
          <w:lang w:val="en-GB"/>
        </w:rPr>
        <w:t>ities</w:t>
      </w:r>
      <w:r w:rsidR="00A139C5" w:rsidRPr="000050B8">
        <w:rPr>
          <w:lang w:val="en-GB"/>
        </w:rPr>
        <w:t xml:space="preserve"> are </w:t>
      </w:r>
      <w:r w:rsidR="006F4778" w:rsidRPr="000050B8">
        <w:rPr>
          <w:lang w:val="en-GB"/>
        </w:rPr>
        <w:t>regarded as</w:t>
      </w:r>
      <w:r w:rsidR="009D1BE4" w:rsidRPr="000050B8">
        <w:rPr>
          <w:lang w:val="en-GB"/>
        </w:rPr>
        <w:t xml:space="preserve"> sites of creativity, </w:t>
      </w:r>
      <w:r w:rsidR="001008E2" w:rsidRPr="000050B8">
        <w:rPr>
          <w:lang w:val="en-GB"/>
        </w:rPr>
        <w:t>innovation and economic growth</w:t>
      </w:r>
      <w:r w:rsidR="00A139C5" w:rsidRPr="000050B8">
        <w:rPr>
          <w:lang w:val="en-GB"/>
        </w:rPr>
        <w:t>; smaller cities and rural areas are not.</w:t>
      </w:r>
    </w:p>
    <w:p w14:paraId="51FD1039" w14:textId="49E04D66" w:rsidR="001008E2" w:rsidRPr="000050B8" w:rsidRDefault="001008E2" w:rsidP="00C43B94">
      <w:pPr>
        <w:spacing w:line="480" w:lineRule="auto"/>
        <w:rPr>
          <w:lang w:val="en-GB"/>
        </w:rPr>
      </w:pPr>
      <w:r w:rsidRPr="000050B8">
        <w:rPr>
          <w:lang w:val="en-GB"/>
        </w:rPr>
        <w:lastRenderedPageBreak/>
        <w:t>Why</w:t>
      </w:r>
      <w:r w:rsidR="00A139C5" w:rsidRPr="000050B8">
        <w:rPr>
          <w:lang w:val="en-GB"/>
        </w:rPr>
        <w:t xml:space="preserve"> are </w:t>
      </w:r>
      <w:r w:rsidRPr="000050B8">
        <w:rPr>
          <w:lang w:val="en-GB"/>
        </w:rPr>
        <w:t xml:space="preserve">cities associated with higher levels of </w:t>
      </w:r>
      <w:r w:rsidR="001E3F86" w:rsidRPr="000050B8">
        <w:rPr>
          <w:lang w:val="en-GB"/>
        </w:rPr>
        <w:t>innovation?</w:t>
      </w:r>
      <w:r w:rsidR="007740A2" w:rsidRPr="000050B8">
        <w:rPr>
          <w:lang w:val="en-GB"/>
        </w:rPr>
        <w:t xml:space="preserve"> Several </w:t>
      </w:r>
      <w:r w:rsidR="001E3F86" w:rsidRPr="000050B8">
        <w:rPr>
          <w:lang w:val="en-GB"/>
        </w:rPr>
        <w:t xml:space="preserve">mechanisms </w:t>
      </w:r>
      <w:r w:rsidR="00AB7A07" w:rsidRPr="000050B8">
        <w:rPr>
          <w:lang w:val="en-GB"/>
        </w:rPr>
        <w:t xml:space="preserve">can </w:t>
      </w:r>
      <w:r w:rsidR="001E3F86" w:rsidRPr="000050B8">
        <w:rPr>
          <w:lang w:val="en-GB"/>
        </w:rPr>
        <w:t>account for this</w:t>
      </w:r>
      <w:r w:rsidR="007F3E8F">
        <w:rPr>
          <w:lang w:val="en-GB"/>
        </w:rPr>
        <w:t xml:space="preserve"> (</w:t>
      </w:r>
      <w:proofErr w:type="spellStart"/>
      <w:r w:rsidR="007F3E8F">
        <w:rPr>
          <w:lang w:val="en-GB"/>
        </w:rPr>
        <w:t>Accetturo</w:t>
      </w:r>
      <w:proofErr w:type="spellEnd"/>
      <w:r w:rsidR="001D2316">
        <w:rPr>
          <w:lang w:val="en-GB"/>
        </w:rPr>
        <w:t xml:space="preserve">, Di </w:t>
      </w:r>
      <w:proofErr w:type="spellStart"/>
      <w:r w:rsidR="001D2316">
        <w:rPr>
          <w:lang w:val="en-GB"/>
        </w:rPr>
        <w:t>Giacinto</w:t>
      </w:r>
      <w:proofErr w:type="spellEnd"/>
      <w:r w:rsidR="001D2316">
        <w:rPr>
          <w:lang w:val="en-GB"/>
        </w:rPr>
        <w:t xml:space="preserve">, </w:t>
      </w:r>
      <w:proofErr w:type="spellStart"/>
      <w:r w:rsidR="001D2316">
        <w:rPr>
          <w:lang w:val="en-GB"/>
        </w:rPr>
        <w:t>Micucci</w:t>
      </w:r>
      <w:proofErr w:type="spellEnd"/>
      <w:r w:rsidR="001D2316">
        <w:rPr>
          <w:lang w:val="en-GB"/>
        </w:rPr>
        <w:t xml:space="preserve">, &amp; </w:t>
      </w:r>
      <w:proofErr w:type="spellStart"/>
      <w:r w:rsidR="001D2316">
        <w:rPr>
          <w:lang w:val="en-GB"/>
        </w:rPr>
        <w:t>Pagnini</w:t>
      </w:r>
      <w:proofErr w:type="spellEnd"/>
      <w:r w:rsidR="001D2316">
        <w:rPr>
          <w:lang w:val="en-GB"/>
        </w:rPr>
        <w:t>,</w:t>
      </w:r>
      <w:r w:rsidR="007F3E8F">
        <w:rPr>
          <w:lang w:val="en-GB"/>
        </w:rPr>
        <w:t xml:space="preserve"> 2018)</w:t>
      </w:r>
      <w:r w:rsidR="001E3F86" w:rsidRPr="000050B8">
        <w:rPr>
          <w:lang w:val="en-GB"/>
        </w:rPr>
        <w:t xml:space="preserve">. Firstly, </w:t>
      </w:r>
      <w:r w:rsidR="007740A2" w:rsidRPr="000050B8">
        <w:rPr>
          <w:lang w:val="en-GB"/>
        </w:rPr>
        <w:t xml:space="preserve">the density linked to cities create positive externalities, which </w:t>
      </w:r>
      <w:r w:rsidR="005A7C65" w:rsidRPr="000050B8">
        <w:rPr>
          <w:lang w:val="en-GB"/>
        </w:rPr>
        <w:t xml:space="preserve">rise </w:t>
      </w:r>
      <w:r w:rsidR="007740A2" w:rsidRPr="000050B8">
        <w:rPr>
          <w:lang w:val="en-GB"/>
        </w:rPr>
        <w:t xml:space="preserve">with city size. </w:t>
      </w:r>
      <w:r w:rsidR="00617EAD" w:rsidRPr="000050B8">
        <w:rPr>
          <w:lang w:val="en-GB"/>
        </w:rPr>
        <w:t>Cities</w:t>
      </w:r>
      <w:r w:rsidR="007740A2" w:rsidRPr="000050B8">
        <w:rPr>
          <w:lang w:val="en-GB"/>
        </w:rPr>
        <w:t xml:space="preserve"> put innovative actors in close geographical proximity and facilitate the development of dense input-output links as well as access to </w:t>
      </w:r>
      <w:r w:rsidR="004D6B79" w:rsidRPr="000050B8">
        <w:rPr>
          <w:lang w:val="en-GB"/>
        </w:rPr>
        <w:t>top</w:t>
      </w:r>
      <w:r w:rsidR="004D6B79">
        <w:rPr>
          <w:lang w:val="en-GB"/>
        </w:rPr>
        <w:t>-</w:t>
      </w:r>
      <w:r w:rsidR="007740A2" w:rsidRPr="000050B8">
        <w:rPr>
          <w:lang w:val="en-GB"/>
        </w:rPr>
        <w:t xml:space="preserve">level skills and physical infrastructure (e.g., Duranton </w:t>
      </w:r>
      <w:r w:rsidR="001D2316">
        <w:rPr>
          <w:lang w:val="en-GB"/>
        </w:rPr>
        <w:t>&amp;</w:t>
      </w:r>
      <w:r w:rsidR="001D2316" w:rsidRPr="000050B8">
        <w:rPr>
          <w:lang w:val="en-GB"/>
        </w:rPr>
        <w:t xml:space="preserve"> </w:t>
      </w:r>
      <w:r w:rsidR="007740A2" w:rsidRPr="000050B8">
        <w:rPr>
          <w:lang w:val="en-GB"/>
        </w:rPr>
        <w:t>Puga, 2001; Ellison</w:t>
      </w:r>
      <w:r w:rsidR="001D2316">
        <w:rPr>
          <w:lang w:val="en-GB"/>
        </w:rPr>
        <w:t>, Glaeser, &amp; Kerr</w:t>
      </w:r>
      <w:r w:rsidR="007740A2" w:rsidRPr="000050B8">
        <w:rPr>
          <w:lang w:val="en-GB"/>
        </w:rPr>
        <w:t>, 2010).</w:t>
      </w:r>
      <w:r w:rsidR="00774EFC" w:rsidRPr="000050B8">
        <w:rPr>
          <w:lang w:val="en-GB"/>
        </w:rPr>
        <w:t xml:space="preserve"> </w:t>
      </w:r>
      <w:r w:rsidR="00F367E0" w:rsidRPr="000050B8">
        <w:rPr>
          <w:lang w:val="en-GB"/>
        </w:rPr>
        <w:t xml:space="preserve">Knowledge sharing is more efficient among co-located actors as the transmission of tacit knowledge relies on regular face-to-face communication (Storper </w:t>
      </w:r>
      <w:r w:rsidR="001D2316">
        <w:rPr>
          <w:lang w:val="en-GB"/>
        </w:rPr>
        <w:t>&amp;</w:t>
      </w:r>
      <w:r w:rsidR="001D2316" w:rsidRPr="000050B8">
        <w:rPr>
          <w:lang w:val="en-GB"/>
        </w:rPr>
        <w:t xml:space="preserve"> </w:t>
      </w:r>
      <w:r w:rsidR="00F367E0" w:rsidRPr="000050B8">
        <w:rPr>
          <w:lang w:val="en-GB"/>
        </w:rPr>
        <w:t>Venables</w:t>
      </w:r>
      <w:r w:rsidR="001D2316">
        <w:rPr>
          <w:lang w:val="en-GB"/>
        </w:rPr>
        <w:t>,</w:t>
      </w:r>
      <w:r w:rsidR="00F367E0" w:rsidRPr="000050B8">
        <w:rPr>
          <w:lang w:val="en-GB"/>
        </w:rPr>
        <w:t xml:space="preserve"> 2004</w:t>
      </w:r>
      <w:r w:rsidR="00342DF9" w:rsidRPr="000050B8">
        <w:rPr>
          <w:lang w:val="en-GB"/>
        </w:rPr>
        <w:t>; McCann, 2007</w:t>
      </w:r>
      <w:r w:rsidR="00F367E0" w:rsidRPr="000050B8">
        <w:rPr>
          <w:lang w:val="en-GB"/>
        </w:rPr>
        <w:t>).</w:t>
      </w:r>
      <w:r w:rsidR="00AB7A07" w:rsidRPr="000050B8">
        <w:rPr>
          <w:lang w:val="en-GB"/>
        </w:rPr>
        <w:t xml:space="preserve"> </w:t>
      </w:r>
      <w:r w:rsidR="00774EFC" w:rsidRPr="000050B8">
        <w:rPr>
          <w:lang w:val="en-GB"/>
        </w:rPr>
        <w:t>Secondly,</w:t>
      </w:r>
      <w:r w:rsidR="007740A2" w:rsidRPr="000050B8">
        <w:rPr>
          <w:lang w:val="en-GB"/>
        </w:rPr>
        <w:t xml:space="preserve"> </w:t>
      </w:r>
      <w:r w:rsidR="00774EFC" w:rsidRPr="000050B8">
        <w:rPr>
          <w:lang w:val="en-GB"/>
        </w:rPr>
        <w:t>s</w:t>
      </w:r>
      <w:r w:rsidR="001E3F86" w:rsidRPr="000050B8">
        <w:rPr>
          <w:lang w:val="en-GB"/>
        </w:rPr>
        <w:t>orting effects mean</w:t>
      </w:r>
      <w:r w:rsidR="00774EFC" w:rsidRPr="000050B8">
        <w:rPr>
          <w:lang w:val="en-GB"/>
        </w:rPr>
        <w:t xml:space="preserve"> that</w:t>
      </w:r>
      <w:r w:rsidR="001E3F86" w:rsidRPr="000050B8">
        <w:rPr>
          <w:lang w:val="en-GB"/>
        </w:rPr>
        <w:t xml:space="preserve"> innovative workers and firms are drawn to cities</w:t>
      </w:r>
      <w:r w:rsidR="00774EFC" w:rsidRPr="000050B8">
        <w:rPr>
          <w:lang w:val="en-GB"/>
        </w:rPr>
        <w:t>, w</w:t>
      </w:r>
      <w:r w:rsidR="00E63EA5">
        <w:rPr>
          <w:lang w:val="en-GB"/>
        </w:rPr>
        <w:t>h</w:t>
      </w:r>
      <w:r w:rsidR="00774EFC" w:rsidRPr="000050B8">
        <w:rPr>
          <w:lang w:val="en-GB"/>
        </w:rPr>
        <w:t>ere they are more likely to maximise the use of their skills</w:t>
      </w:r>
      <w:r w:rsidR="001E3F86" w:rsidRPr="000050B8">
        <w:rPr>
          <w:lang w:val="en-GB"/>
        </w:rPr>
        <w:t xml:space="preserve"> (Baldwin </w:t>
      </w:r>
      <w:r w:rsidR="001D2316">
        <w:rPr>
          <w:lang w:val="en-GB"/>
        </w:rPr>
        <w:t>&amp;</w:t>
      </w:r>
      <w:r w:rsidR="001D2316" w:rsidRPr="000050B8">
        <w:rPr>
          <w:lang w:val="en-GB"/>
        </w:rPr>
        <w:t xml:space="preserve"> </w:t>
      </w:r>
      <w:r w:rsidR="001E3F86" w:rsidRPr="000050B8">
        <w:rPr>
          <w:lang w:val="en-GB"/>
        </w:rPr>
        <w:t>Okubo</w:t>
      </w:r>
      <w:r w:rsidR="001D2316">
        <w:rPr>
          <w:lang w:val="en-GB"/>
        </w:rPr>
        <w:t>,</w:t>
      </w:r>
      <w:r w:rsidR="001E3F86" w:rsidRPr="000050B8">
        <w:rPr>
          <w:lang w:val="en-GB"/>
        </w:rPr>
        <w:t xml:space="preserve"> 2006; Storper</w:t>
      </w:r>
      <w:r w:rsidR="001D2316">
        <w:rPr>
          <w:lang w:val="en-GB"/>
        </w:rPr>
        <w:t xml:space="preserve">, Kemeny, </w:t>
      </w:r>
      <w:proofErr w:type="spellStart"/>
      <w:r w:rsidR="001D2316">
        <w:rPr>
          <w:lang w:val="en-GB"/>
        </w:rPr>
        <w:t>Makarem</w:t>
      </w:r>
      <w:proofErr w:type="spellEnd"/>
      <w:r w:rsidR="001D2316">
        <w:rPr>
          <w:lang w:val="en-GB"/>
        </w:rPr>
        <w:t>, &amp; Osman,</w:t>
      </w:r>
      <w:r w:rsidR="001E3F86" w:rsidRPr="000050B8">
        <w:rPr>
          <w:lang w:val="en-GB"/>
        </w:rPr>
        <w:t xml:space="preserve"> 2015</w:t>
      </w:r>
      <w:r w:rsidR="0055153D">
        <w:rPr>
          <w:lang w:val="en-GB"/>
        </w:rPr>
        <w:t>; Ahlin</w:t>
      </w:r>
      <w:r w:rsidR="001D2316">
        <w:rPr>
          <w:lang w:val="en-GB"/>
        </w:rPr>
        <w:t xml:space="preserve">, Andersson, &amp; </w:t>
      </w:r>
      <w:proofErr w:type="spellStart"/>
      <w:r w:rsidR="001D2316">
        <w:rPr>
          <w:lang w:val="en-GB"/>
        </w:rPr>
        <w:t>Thulin</w:t>
      </w:r>
      <w:proofErr w:type="spellEnd"/>
      <w:r w:rsidR="001D2316">
        <w:rPr>
          <w:lang w:val="en-GB"/>
        </w:rPr>
        <w:t>,</w:t>
      </w:r>
      <w:r w:rsidR="0055153D">
        <w:rPr>
          <w:lang w:val="en-GB"/>
        </w:rPr>
        <w:t xml:space="preserve"> 2018</w:t>
      </w:r>
      <w:r w:rsidR="001E3F86" w:rsidRPr="000050B8">
        <w:rPr>
          <w:lang w:val="en-GB"/>
        </w:rPr>
        <w:t>).</w:t>
      </w:r>
      <w:r w:rsidR="00F83199" w:rsidRPr="000050B8">
        <w:rPr>
          <w:lang w:val="en-GB"/>
        </w:rPr>
        <w:t xml:space="preserve"> Inter-regional mobility of </w:t>
      </w:r>
      <w:proofErr w:type="spellStart"/>
      <w:r w:rsidR="001551AF">
        <w:rPr>
          <w:lang w:val="en-GB"/>
        </w:rPr>
        <w:t>labor</w:t>
      </w:r>
      <w:proofErr w:type="spellEnd"/>
      <w:r w:rsidR="00F83199" w:rsidRPr="000050B8">
        <w:rPr>
          <w:lang w:val="en-GB"/>
        </w:rPr>
        <w:t xml:space="preserve"> </w:t>
      </w:r>
      <w:r w:rsidR="00DE63A4">
        <w:rPr>
          <w:lang w:val="en-GB"/>
        </w:rPr>
        <w:t>is</w:t>
      </w:r>
      <w:r w:rsidR="00F83199" w:rsidRPr="000050B8">
        <w:rPr>
          <w:lang w:val="en-GB"/>
        </w:rPr>
        <w:t xml:space="preserve"> associated with increases in firm-level innovation </w:t>
      </w:r>
      <w:r w:rsidR="00DE63A4">
        <w:rPr>
          <w:lang w:val="en-GB"/>
        </w:rPr>
        <w:t>and</w:t>
      </w:r>
      <w:r w:rsidR="00DE63A4" w:rsidRPr="000050B8">
        <w:rPr>
          <w:lang w:val="en-GB"/>
        </w:rPr>
        <w:t xml:space="preserve"> </w:t>
      </w:r>
      <w:r w:rsidR="00F83199" w:rsidRPr="000050B8">
        <w:rPr>
          <w:lang w:val="en-GB"/>
        </w:rPr>
        <w:t xml:space="preserve">productivity (e.g. Timmermans </w:t>
      </w:r>
      <w:r w:rsidR="001D2316">
        <w:rPr>
          <w:lang w:val="en-GB"/>
        </w:rPr>
        <w:t>&amp;</w:t>
      </w:r>
      <w:r w:rsidR="001D2316" w:rsidRPr="000050B8">
        <w:rPr>
          <w:lang w:val="en-GB"/>
        </w:rPr>
        <w:t xml:space="preserve"> </w:t>
      </w:r>
      <w:r w:rsidR="00F83199" w:rsidRPr="000050B8">
        <w:rPr>
          <w:lang w:val="en-GB"/>
        </w:rPr>
        <w:t xml:space="preserve">Boschma, 2014; Eriksson </w:t>
      </w:r>
      <w:r w:rsidR="001D2316">
        <w:rPr>
          <w:lang w:val="en-GB"/>
        </w:rPr>
        <w:t>&amp;</w:t>
      </w:r>
      <w:r w:rsidR="001D2316" w:rsidRPr="000050B8">
        <w:rPr>
          <w:lang w:val="en-GB"/>
        </w:rPr>
        <w:t xml:space="preserve"> </w:t>
      </w:r>
      <w:r w:rsidR="00F83199" w:rsidRPr="000050B8">
        <w:rPr>
          <w:lang w:val="en-GB"/>
        </w:rPr>
        <w:t>Rodríguez-Pose, 2017).</w:t>
      </w:r>
      <w:r w:rsidR="001E3F86" w:rsidRPr="000050B8">
        <w:rPr>
          <w:lang w:val="en-GB"/>
        </w:rPr>
        <w:t xml:space="preserve"> </w:t>
      </w:r>
      <w:r w:rsidR="00F83199" w:rsidRPr="000050B8">
        <w:rPr>
          <w:lang w:val="en-GB"/>
        </w:rPr>
        <w:t xml:space="preserve">Third, </w:t>
      </w:r>
      <w:r w:rsidR="00774EFC" w:rsidRPr="000050B8">
        <w:rPr>
          <w:lang w:val="en-GB"/>
        </w:rPr>
        <w:t>cities</w:t>
      </w:r>
      <w:r w:rsidR="00F83199" w:rsidRPr="000050B8">
        <w:rPr>
          <w:lang w:val="en-GB"/>
        </w:rPr>
        <w:t xml:space="preserve"> can</w:t>
      </w:r>
      <w:r w:rsidR="00774EFC" w:rsidRPr="000050B8">
        <w:rPr>
          <w:lang w:val="en-GB"/>
        </w:rPr>
        <w:t xml:space="preserve"> facilitate the emergence of </w:t>
      </w:r>
      <w:r w:rsidR="00774EFC" w:rsidRPr="000050B8">
        <w:rPr>
          <w:szCs w:val="24"/>
          <w:lang w:val="en-GB"/>
        </w:rPr>
        <w:t xml:space="preserve">complex systems of interpersonal and interfirm interaction that </w:t>
      </w:r>
      <w:r w:rsidR="00DE63A4">
        <w:rPr>
          <w:szCs w:val="24"/>
          <w:lang w:val="en-GB"/>
        </w:rPr>
        <w:t>foster</w:t>
      </w:r>
      <w:r w:rsidR="00774EFC" w:rsidRPr="000050B8">
        <w:rPr>
          <w:szCs w:val="24"/>
          <w:lang w:val="en-GB"/>
        </w:rPr>
        <w:t xml:space="preserve"> innovation systems (</w:t>
      </w:r>
      <w:r w:rsidR="00774EFC" w:rsidRPr="000050B8">
        <w:rPr>
          <w:lang w:val="en-GB"/>
        </w:rPr>
        <w:t xml:space="preserve">e.g. Cooke </w:t>
      </w:r>
      <w:r w:rsidR="001D2316">
        <w:rPr>
          <w:lang w:val="en-GB"/>
        </w:rPr>
        <w:t>&amp;</w:t>
      </w:r>
      <w:r w:rsidR="001D2316" w:rsidRPr="000050B8">
        <w:rPr>
          <w:lang w:val="en-GB"/>
        </w:rPr>
        <w:t xml:space="preserve"> </w:t>
      </w:r>
      <w:r w:rsidR="00774EFC" w:rsidRPr="000050B8">
        <w:rPr>
          <w:lang w:val="en-GB"/>
        </w:rPr>
        <w:t>Morgan</w:t>
      </w:r>
      <w:r w:rsidR="001D2316">
        <w:rPr>
          <w:lang w:val="en-GB"/>
        </w:rPr>
        <w:t>,</w:t>
      </w:r>
      <w:r w:rsidR="00774EFC" w:rsidRPr="000050B8">
        <w:rPr>
          <w:lang w:val="en-GB"/>
        </w:rPr>
        <w:t xml:space="preserve"> 1994; Cooke</w:t>
      </w:r>
      <w:r w:rsidR="001D2316">
        <w:rPr>
          <w:lang w:val="en-GB"/>
        </w:rPr>
        <w:t>, Gómez-</w:t>
      </w:r>
      <w:proofErr w:type="spellStart"/>
      <w:r w:rsidR="001D2316">
        <w:rPr>
          <w:lang w:val="en-GB"/>
        </w:rPr>
        <w:t>Uranga</w:t>
      </w:r>
      <w:proofErr w:type="spellEnd"/>
      <w:r w:rsidR="001D2316">
        <w:rPr>
          <w:lang w:val="en-GB"/>
        </w:rPr>
        <w:t xml:space="preserve">, &amp; </w:t>
      </w:r>
      <w:proofErr w:type="spellStart"/>
      <w:r w:rsidR="001D2316">
        <w:rPr>
          <w:lang w:val="en-GB"/>
        </w:rPr>
        <w:t>Etxebarría</w:t>
      </w:r>
      <w:proofErr w:type="spellEnd"/>
      <w:r w:rsidR="001D2316">
        <w:rPr>
          <w:lang w:val="en-GB"/>
        </w:rPr>
        <w:t>,</w:t>
      </w:r>
      <w:r w:rsidR="00774EFC" w:rsidRPr="000050B8">
        <w:rPr>
          <w:lang w:val="en-GB"/>
        </w:rPr>
        <w:t xml:space="preserve"> 1998; Iammarino</w:t>
      </w:r>
      <w:r w:rsidR="001D2316">
        <w:rPr>
          <w:lang w:val="en-GB"/>
        </w:rPr>
        <w:t>,</w:t>
      </w:r>
      <w:r w:rsidR="00774EFC" w:rsidRPr="000050B8">
        <w:rPr>
          <w:lang w:val="en-GB"/>
        </w:rPr>
        <w:t xml:space="preserve"> 2005). </w:t>
      </w:r>
      <w:r w:rsidR="00CA116E" w:rsidRPr="000050B8">
        <w:rPr>
          <w:lang w:val="en-GB"/>
        </w:rPr>
        <w:t xml:space="preserve">Finally, tacit knowledge travels with difficulty, meaning that new knowledge is geographically constrained and </w:t>
      </w:r>
      <w:r w:rsidR="00226B32">
        <w:rPr>
          <w:lang w:val="en-GB"/>
        </w:rPr>
        <w:t>its</w:t>
      </w:r>
      <w:r w:rsidR="002A35F3">
        <w:rPr>
          <w:lang w:val="en-GB"/>
        </w:rPr>
        <w:t xml:space="preserve"> expan</w:t>
      </w:r>
      <w:r w:rsidR="00226B32">
        <w:rPr>
          <w:lang w:val="en-GB"/>
        </w:rPr>
        <w:t>sion</w:t>
      </w:r>
      <w:r w:rsidR="00CA116E" w:rsidRPr="000050B8">
        <w:rPr>
          <w:lang w:val="en-GB"/>
        </w:rPr>
        <w:t xml:space="preserve"> beyond cities</w:t>
      </w:r>
      <w:r w:rsidR="00226B32">
        <w:rPr>
          <w:lang w:val="en-GB"/>
        </w:rPr>
        <w:t xml:space="preserve"> complicated</w:t>
      </w:r>
      <w:r w:rsidR="00CA116E" w:rsidRPr="000050B8">
        <w:rPr>
          <w:lang w:val="en-GB"/>
        </w:rPr>
        <w:t xml:space="preserve">. There is a strong </w:t>
      </w:r>
      <w:r w:rsidR="00DE63A4" w:rsidRPr="000050B8">
        <w:rPr>
          <w:lang w:val="en-GB"/>
        </w:rPr>
        <w:t>distance</w:t>
      </w:r>
      <w:r w:rsidR="00DE63A4">
        <w:rPr>
          <w:lang w:val="en-GB"/>
        </w:rPr>
        <w:t>-</w:t>
      </w:r>
      <w:r w:rsidR="00CA116E" w:rsidRPr="000050B8">
        <w:rPr>
          <w:lang w:val="en-GB"/>
        </w:rPr>
        <w:t xml:space="preserve">decay effect in the diffusion of knowledge and innovation, with limited knowledge spillovers at play beyond 80 </w:t>
      </w:r>
      <w:proofErr w:type="spellStart"/>
      <w:r w:rsidR="00CA116E" w:rsidRPr="000050B8">
        <w:rPr>
          <w:lang w:val="en-GB"/>
        </w:rPr>
        <w:t>km</w:t>
      </w:r>
      <w:r w:rsidR="0099369E">
        <w:rPr>
          <w:lang w:val="en-GB"/>
        </w:rPr>
        <w:t>s</w:t>
      </w:r>
      <w:proofErr w:type="spellEnd"/>
      <w:r w:rsidR="00CA116E" w:rsidRPr="000050B8">
        <w:rPr>
          <w:lang w:val="en-GB"/>
        </w:rPr>
        <w:t xml:space="preserve"> from the </w:t>
      </w:r>
      <w:proofErr w:type="spellStart"/>
      <w:r w:rsidR="001551AF">
        <w:rPr>
          <w:lang w:val="en-GB"/>
        </w:rPr>
        <w:t>center</w:t>
      </w:r>
      <w:proofErr w:type="spellEnd"/>
      <w:r w:rsidR="001551AF" w:rsidRPr="000050B8">
        <w:rPr>
          <w:lang w:val="en-GB"/>
        </w:rPr>
        <w:t xml:space="preserve"> </w:t>
      </w:r>
      <w:r w:rsidR="00CA116E" w:rsidRPr="000050B8">
        <w:rPr>
          <w:lang w:val="en-GB"/>
        </w:rPr>
        <w:t xml:space="preserve">cities in the US and beyond 200 </w:t>
      </w:r>
      <w:proofErr w:type="spellStart"/>
      <w:r w:rsidR="00CA116E" w:rsidRPr="000050B8">
        <w:rPr>
          <w:lang w:val="en-GB"/>
        </w:rPr>
        <w:t>km</w:t>
      </w:r>
      <w:r w:rsidR="0099369E">
        <w:rPr>
          <w:lang w:val="en-GB"/>
        </w:rPr>
        <w:t>s</w:t>
      </w:r>
      <w:proofErr w:type="spellEnd"/>
      <w:r w:rsidR="00CA116E" w:rsidRPr="000050B8">
        <w:rPr>
          <w:lang w:val="en-GB"/>
        </w:rPr>
        <w:t xml:space="preserve"> for the EU (Crescenzi</w:t>
      </w:r>
      <w:r w:rsidR="001D2316">
        <w:rPr>
          <w:lang w:val="en-GB"/>
        </w:rPr>
        <w:t>, Rodríguez-Pose, &amp; Storper,</w:t>
      </w:r>
      <w:r w:rsidR="00CA116E" w:rsidRPr="000050B8">
        <w:rPr>
          <w:lang w:val="en-GB"/>
        </w:rPr>
        <w:t xml:space="preserve"> 2007)</w:t>
      </w:r>
      <w:r w:rsidR="00F367E0" w:rsidRPr="000050B8">
        <w:rPr>
          <w:lang w:val="en-GB"/>
        </w:rPr>
        <w:t>.</w:t>
      </w:r>
      <w:r w:rsidR="00CA116E" w:rsidRPr="000050B8">
        <w:rPr>
          <w:lang w:val="en-GB"/>
        </w:rPr>
        <w:t xml:space="preserve"> </w:t>
      </w:r>
      <w:r w:rsidR="00F367E0" w:rsidRPr="000050B8">
        <w:rPr>
          <w:lang w:val="en-GB"/>
        </w:rPr>
        <w:t>Cities are</w:t>
      </w:r>
      <w:r w:rsidR="0099369E">
        <w:rPr>
          <w:lang w:val="en-GB"/>
        </w:rPr>
        <w:t xml:space="preserve"> thus</w:t>
      </w:r>
      <w:r w:rsidR="00F367E0" w:rsidRPr="000050B8">
        <w:rPr>
          <w:lang w:val="en-GB"/>
        </w:rPr>
        <w:t xml:space="preserve"> at the heart of the </w:t>
      </w:r>
      <w:r w:rsidR="00C27B2A" w:rsidRPr="000050B8">
        <w:rPr>
          <w:lang w:val="en-GB"/>
        </w:rPr>
        <w:t xml:space="preserve">sharing, matching and learning processes </w:t>
      </w:r>
      <w:r w:rsidR="00F367E0" w:rsidRPr="000050B8">
        <w:rPr>
          <w:lang w:val="en-GB"/>
        </w:rPr>
        <w:t>that drive innovation</w:t>
      </w:r>
      <w:r w:rsidR="00E63EA5">
        <w:rPr>
          <w:lang w:val="en-GB"/>
        </w:rPr>
        <w:t xml:space="preserve"> (Duranton </w:t>
      </w:r>
      <w:r w:rsidR="001D2316">
        <w:rPr>
          <w:lang w:val="en-GB"/>
        </w:rPr>
        <w:t xml:space="preserve">&amp; </w:t>
      </w:r>
      <w:r w:rsidR="00E63EA5">
        <w:rPr>
          <w:lang w:val="en-GB"/>
        </w:rPr>
        <w:t>Puga</w:t>
      </w:r>
      <w:r w:rsidR="001D2316">
        <w:rPr>
          <w:lang w:val="en-GB"/>
        </w:rPr>
        <w:t>,</w:t>
      </w:r>
      <w:r w:rsidR="00E63EA5">
        <w:rPr>
          <w:lang w:val="en-GB"/>
        </w:rPr>
        <w:t xml:space="preserve"> 2004)</w:t>
      </w:r>
      <w:r w:rsidR="00C27B2A" w:rsidRPr="000050B8">
        <w:rPr>
          <w:lang w:val="en-GB"/>
        </w:rPr>
        <w:t>.</w:t>
      </w:r>
    </w:p>
    <w:p w14:paraId="429179E2" w14:textId="63BB9AD1" w:rsidR="00083A92" w:rsidRPr="000050B8" w:rsidRDefault="00342DF9" w:rsidP="00A3486C">
      <w:pPr>
        <w:spacing w:line="480" w:lineRule="auto"/>
        <w:rPr>
          <w:lang w:val="en-GB"/>
        </w:rPr>
      </w:pPr>
      <w:r w:rsidRPr="000050B8">
        <w:rPr>
          <w:lang w:val="en-GB"/>
        </w:rPr>
        <w:t>The analysis presented in this paper focus</w:t>
      </w:r>
      <w:r w:rsidR="00DE63A4">
        <w:rPr>
          <w:lang w:val="en-GB"/>
        </w:rPr>
        <w:t>es</w:t>
      </w:r>
      <w:r w:rsidRPr="000050B8">
        <w:rPr>
          <w:lang w:val="en-GB"/>
        </w:rPr>
        <w:t xml:space="preserve"> exclusively on the third and fourth mechanisms that supposedly facilitate firm-level innovation</w:t>
      </w:r>
      <w:r w:rsidR="00E63EA5">
        <w:rPr>
          <w:lang w:val="en-GB"/>
        </w:rPr>
        <w:t xml:space="preserve"> in cities</w:t>
      </w:r>
      <w:r w:rsidRPr="000050B8">
        <w:rPr>
          <w:lang w:val="en-GB"/>
        </w:rPr>
        <w:t xml:space="preserve">: </w:t>
      </w:r>
      <w:r w:rsidR="0099369E">
        <w:rPr>
          <w:lang w:val="en-GB"/>
        </w:rPr>
        <w:t>extra-</w:t>
      </w:r>
      <w:r w:rsidR="00DE63A4" w:rsidRPr="000050B8">
        <w:rPr>
          <w:lang w:val="en-GB"/>
        </w:rPr>
        <w:t>firm</w:t>
      </w:r>
      <w:r w:rsidRPr="000050B8">
        <w:rPr>
          <w:lang w:val="en-GB"/>
        </w:rPr>
        <w:t xml:space="preserve"> collaborations and the opportunities cities offer for firms to engage in innovation collaboration and </w:t>
      </w:r>
      <w:r w:rsidR="00D9104D" w:rsidRPr="000050B8">
        <w:rPr>
          <w:lang w:val="en-GB"/>
        </w:rPr>
        <w:t>f</w:t>
      </w:r>
      <w:r w:rsidRPr="000050B8">
        <w:rPr>
          <w:lang w:val="en-GB"/>
        </w:rPr>
        <w:t>o</w:t>
      </w:r>
      <w:r w:rsidR="00D9104D" w:rsidRPr="000050B8">
        <w:rPr>
          <w:lang w:val="en-GB"/>
        </w:rPr>
        <w:t>r</w:t>
      </w:r>
      <w:r w:rsidRPr="000050B8">
        <w:rPr>
          <w:lang w:val="en-GB"/>
        </w:rPr>
        <w:t>m networks.</w:t>
      </w:r>
      <w:r w:rsidR="00083A92" w:rsidRPr="000050B8">
        <w:rPr>
          <w:lang w:val="en-GB"/>
        </w:rPr>
        <w:t xml:space="preserve"> How the geography of the location of firms and </w:t>
      </w:r>
      <w:r w:rsidR="007A6646">
        <w:rPr>
          <w:lang w:val="en-GB"/>
        </w:rPr>
        <w:t xml:space="preserve">of </w:t>
      </w:r>
      <w:r w:rsidR="00083A92" w:rsidRPr="000050B8">
        <w:rPr>
          <w:lang w:val="en-GB"/>
        </w:rPr>
        <w:t xml:space="preserve">the collaborative networks they generate </w:t>
      </w:r>
      <w:r w:rsidR="00083A92" w:rsidRPr="000050B8">
        <w:rPr>
          <w:lang w:val="en-GB"/>
        </w:rPr>
        <w:lastRenderedPageBreak/>
        <w:t>affect</w:t>
      </w:r>
      <w:r w:rsidR="00D9104D" w:rsidRPr="000050B8">
        <w:rPr>
          <w:lang w:val="en-GB"/>
        </w:rPr>
        <w:t>s</w:t>
      </w:r>
      <w:r w:rsidR="00083A92" w:rsidRPr="000050B8">
        <w:rPr>
          <w:lang w:val="en-GB"/>
        </w:rPr>
        <w:t xml:space="preserve"> firm-level innovation, in general, and different types of innovation – product, new-to-market, process, organisational, and marketing innovation – in particular, is discussed on the basis of existing literature for Norway and elsewhere</w:t>
      </w:r>
      <w:r w:rsidR="00D9104D" w:rsidRPr="000050B8">
        <w:rPr>
          <w:lang w:val="en-GB"/>
        </w:rPr>
        <w:t>. Th</w:t>
      </w:r>
      <w:r w:rsidR="00A3486C" w:rsidRPr="000050B8">
        <w:rPr>
          <w:lang w:val="en-GB"/>
        </w:rPr>
        <w:t>ree research questions will be tackled:</w:t>
      </w:r>
      <w:r w:rsidR="00D9104D" w:rsidRPr="000050B8">
        <w:rPr>
          <w:lang w:val="en-GB"/>
        </w:rPr>
        <w:t xml:space="preserve"> </w:t>
      </w:r>
      <w:proofErr w:type="spellStart"/>
      <w:r w:rsidR="00D9104D" w:rsidRPr="000050B8">
        <w:rPr>
          <w:lang w:val="en-GB"/>
        </w:rPr>
        <w:t>i</w:t>
      </w:r>
      <w:proofErr w:type="spellEnd"/>
      <w:r w:rsidR="00D9104D" w:rsidRPr="000050B8">
        <w:rPr>
          <w:lang w:val="en-GB"/>
        </w:rPr>
        <w:t xml:space="preserve">) </w:t>
      </w:r>
      <w:r w:rsidR="00537D0D" w:rsidRPr="000050B8">
        <w:rPr>
          <w:lang w:val="en-GB"/>
        </w:rPr>
        <w:t xml:space="preserve">whether </w:t>
      </w:r>
      <w:r w:rsidR="00D9104D" w:rsidRPr="000050B8">
        <w:rPr>
          <w:lang w:val="en-GB"/>
        </w:rPr>
        <w:t>local collaboration is associated with more innovation than collaboration at a distance, ii) whether collaboration at different geographical distances affects different types of innovation differently</w:t>
      </w:r>
      <w:r w:rsidR="00A3486C" w:rsidRPr="000050B8">
        <w:rPr>
          <w:lang w:val="en-GB"/>
        </w:rPr>
        <w:t>,</w:t>
      </w:r>
      <w:r w:rsidR="00D9104D" w:rsidRPr="000050B8">
        <w:rPr>
          <w:lang w:val="en-GB"/>
        </w:rPr>
        <w:t xml:space="preserve"> and iii) whether the association between local collaboration and innovation is larger in urban than in </w:t>
      </w:r>
      <w:r w:rsidR="00FC2397">
        <w:rPr>
          <w:lang w:val="en-GB"/>
        </w:rPr>
        <w:t>rural</w:t>
      </w:r>
      <w:r w:rsidR="00D9104D" w:rsidRPr="000050B8">
        <w:rPr>
          <w:lang w:val="en-GB"/>
        </w:rPr>
        <w:t xml:space="preserve"> regions and in bigger cities than in smaller ones. </w:t>
      </w:r>
    </w:p>
    <w:p w14:paraId="3169B27A" w14:textId="3D062B2E" w:rsidR="00072E41" w:rsidRPr="000050B8" w:rsidRDefault="00072E41" w:rsidP="00C43B94">
      <w:pPr>
        <w:spacing w:line="480" w:lineRule="auto"/>
        <w:rPr>
          <w:lang w:val="en-GB"/>
        </w:rPr>
      </w:pPr>
      <w:r w:rsidRPr="000050B8">
        <w:rPr>
          <w:lang w:val="en-GB"/>
        </w:rPr>
        <w:t xml:space="preserve">The importance of local interaction </w:t>
      </w:r>
      <w:r w:rsidR="00D9104D" w:rsidRPr="000050B8">
        <w:rPr>
          <w:lang w:val="en-GB"/>
        </w:rPr>
        <w:t>in cities</w:t>
      </w:r>
      <w:r w:rsidRPr="000050B8">
        <w:rPr>
          <w:lang w:val="en-GB"/>
        </w:rPr>
        <w:t xml:space="preserve"> </w:t>
      </w:r>
      <w:r w:rsidR="000225AF" w:rsidRPr="000050B8">
        <w:rPr>
          <w:lang w:val="en-GB"/>
        </w:rPr>
        <w:t>for innovation and economic growth</w:t>
      </w:r>
      <w:r w:rsidR="00F367E0" w:rsidRPr="000050B8">
        <w:rPr>
          <w:lang w:val="en-GB"/>
        </w:rPr>
        <w:t xml:space="preserve"> is at the </w:t>
      </w:r>
      <w:proofErr w:type="spellStart"/>
      <w:r w:rsidR="001551AF">
        <w:rPr>
          <w:lang w:val="en-GB"/>
        </w:rPr>
        <w:t>center</w:t>
      </w:r>
      <w:proofErr w:type="spellEnd"/>
      <w:r w:rsidR="001551AF" w:rsidRPr="000050B8">
        <w:rPr>
          <w:lang w:val="en-GB"/>
        </w:rPr>
        <w:t xml:space="preserve"> </w:t>
      </w:r>
      <w:r w:rsidR="00F367E0" w:rsidRPr="000050B8">
        <w:rPr>
          <w:lang w:val="en-GB"/>
        </w:rPr>
        <w:t xml:space="preserve">of </w:t>
      </w:r>
      <w:r w:rsidR="006B2A0A">
        <w:rPr>
          <w:lang w:val="en-GB"/>
        </w:rPr>
        <w:t>various</w:t>
      </w:r>
      <w:r w:rsidRPr="000050B8">
        <w:rPr>
          <w:lang w:val="en-GB"/>
        </w:rPr>
        <w:t xml:space="preserve"> approaches to regional development</w:t>
      </w:r>
      <w:r w:rsidR="00F367E0" w:rsidRPr="000050B8">
        <w:rPr>
          <w:lang w:val="en-GB"/>
        </w:rPr>
        <w:t>.</w:t>
      </w:r>
      <w:r w:rsidRPr="000050B8">
        <w:rPr>
          <w:lang w:val="en-GB"/>
        </w:rPr>
        <w:t xml:space="preserve"> </w:t>
      </w:r>
      <w:r w:rsidR="00F367E0" w:rsidRPr="000050B8">
        <w:rPr>
          <w:lang w:val="en-GB"/>
        </w:rPr>
        <w:t>F</w:t>
      </w:r>
      <w:r w:rsidR="00252FD8" w:rsidRPr="000050B8">
        <w:rPr>
          <w:lang w:val="en-GB"/>
        </w:rPr>
        <w:t xml:space="preserve">rom new economic geography and urban economics to the </w:t>
      </w:r>
      <w:r w:rsidRPr="000050B8">
        <w:rPr>
          <w:lang w:val="en-GB"/>
        </w:rPr>
        <w:t>industrial districts</w:t>
      </w:r>
      <w:r w:rsidR="00252FD8" w:rsidRPr="000050B8">
        <w:rPr>
          <w:lang w:val="en-GB"/>
        </w:rPr>
        <w:t>,</w:t>
      </w:r>
      <w:r w:rsidRPr="000050B8">
        <w:rPr>
          <w:lang w:val="en-GB"/>
        </w:rPr>
        <w:t xml:space="preserve"> regional innovation systems</w:t>
      </w:r>
      <w:r w:rsidR="00252FD8" w:rsidRPr="000050B8">
        <w:rPr>
          <w:lang w:val="en-GB"/>
        </w:rPr>
        <w:t>,</w:t>
      </w:r>
      <w:r w:rsidRPr="000050B8">
        <w:rPr>
          <w:lang w:val="en-GB"/>
        </w:rPr>
        <w:t xml:space="preserve"> clusters</w:t>
      </w:r>
      <w:r w:rsidR="00252FD8" w:rsidRPr="000050B8">
        <w:rPr>
          <w:lang w:val="en-GB"/>
        </w:rPr>
        <w:t>,</w:t>
      </w:r>
      <w:r w:rsidRPr="000050B8">
        <w:rPr>
          <w:lang w:val="en-GB"/>
        </w:rPr>
        <w:t xml:space="preserve"> and innovative </w:t>
      </w:r>
      <w:proofErr w:type="spellStart"/>
      <w:r w:rsidRPr="000050B8">
        <w:rPr>
          <w:i/>
          <w:lang w:val="en-GB"/>
        </w:rPr>
        <w:t>milieux</w:t>
      </w:r>
      <w:proofErr w:type="spellEnd"/>
      <w:r w:rsidR="00252FD8" w:rsidRPr="000050B8">
        <w:rPr>
          <w:lang w:val="en-GB"/>
        </w:rPr>
        <w:t xml:space="preserve"> literature, it is emphasised that interaction</w:t>
      </w:r>
      <w:r w:rsidR="009C1D12">
        <w:rPr>
          <w:lang w:val="en-GB"/>
        </w:rPr>
        <w:t xml:space="preserve"> happens</w:t>
      </w:r>
      <w:r w:rsidR="00252FD8" w:rsidRPr="000050B8">
        <w:rPr>
          <w:lang w:val="en-GB"/>
        </w:rPr>
        <w:t xml:space="preserve"> </w:t>
      </w:r>
      <w:r w:rsidR="00796D66" w:rsidRPr="000050B8">
        <w:rPr>
          <w:lang w:val="en-GB"/>
        </w:rPr>
        <w:t xml:space="preserve">most easily in dense and highly institutionalised environments, where </w:t>
      </w:r>
      <w:r w:rsidR="00834B26" w:rsidRPr="000050B8">
        <w:rPr>
          <w:lang w:val="en-GB"/>
        </w:rPr>
        <w:t>trusting relation</w:t>
      </w:r>
      <w:r w:rsidR="00B85A69" w:rsidRPr="000050B8">
        <w:rPr>
          <w:lang w:val="en-GB"/>
        </w:rPr>
        <w:t xml:space="preserve">ships </w:t>
      </w:r>
      <w:r w:rsidR="00252FD8" w:rsidRPr="000050B8">
        <w:rPr>
          <w:lang w:val="en-GB"/>
        </w:rPr>
        <w:t>resulting from</w:t>
      </w:r>
      <w:r w:rsidR="00B85A69" w:rsidRPr="000050B8">
        <w:rPr>
          <w:lang w:val="en-GB"/>
        </w:rPr>
        <w:t xml:space="preserve"> geographic proximity</w:t>
      </w:r>
      <w:r w:rsidR="006B2A0A">
        <w:rPr>
          <w:lang w:val="en-GB"/>
        </w:rPr>
        <w:t xml:space="preserve"> sustain collaboration</w:t>
      </w:r>
      <w:r w:rsidR="00B85A69" w:rsidRPr="000050B8">
        <w:rPr>
          <w:lang w:val="en-GB"/>
        </w:rPr>
        <w:t xml:space="preserve">. </w:t>
      </w:r>
      <w:r w:rsidR="00A976AE" w:rsidRPr="000050B8">
        <w:rPr>
          <w:lang w:val="en-GB"/>
        </w:rPr>
        <w:t>In such environments, geographic</w:t>
      </w:r>
      <w:r w:rsidR="00252FD8" w:rsidRPr="000050B8">
        <w:rPr>
          <w:lang w:val="en-GB"/>
        </w:rPr>
        <w:t>al</w:t>
      </w:r>
      <w:r w:rsidR="00A976AE" w:rsidRPr="000050B8">
        <w:rPr>
          <w:lang w:val="en-GB"/>
        </w:rPr>
        <w:t xml:space="preserve"> proximity is </w:t>
      </w:r>
      <w:r w:rsidR="009C1D12">
        <w:rPr>
          <w:lang w:val="en-GB"/>
        </w:rPr>
        <w:t>considered</w:t>
      </w:r>
      <w:r w:rsidR="009C1D12" w:rsidRPr="000050B8">
        <w:rPr>
          <w:lang w:val="en-GB"/>
        </w:rPr>
        <w:t xml:space="preserve"> </w:t>
      </w:r>
      <w:r w:rsidR="00A976AE" w:rsidRPr="000050B8">
        <w:rPr>
          <w:lang w:val="en-GB"/>
        </w:rPr>
        <w:t>to produce proximity also in other dimensions, such as social or cognitive proximity (Boschma</w:t>
      </w:r>
      <w:r w:rsidR="001D2316">
        <w:rPr>
          <w:lang w:val="en-GB"/>
        </w:rPr>
        <w:t>,</w:t>
      </w:r>
      <w:r w:rsidR="00A976AE" w:rsidRPr="000050B8">
        <w:rPr>
          <w:lang w:val="en-GB"/>
        </w:rPr>
        <w:t xml:space="preserve"> 2005).</w:t>
      </w:r>
    </w:p>
    <w:p w14:paraId="06C36A10" w14:textId="27A59870" w:rsidR="004929F1" w:rsidRPr="000050B8" w:rsidRDefault="00E214B2" w:rsidP="00C43B94">
      <w:pPr>
        <w:spacing w:line="480" w:lineRule="auto"/>
        <w:rPr>
          <w:lang w:val="en-GB"/>
        </w:rPr>
      </w:pPr>
      <w:r w:rsidRPr="000050B8">
        <w:rPr>
          <w:lang w:val="en-GB"/>
        </w:rPr>
        <w:t>However,</w:t>
      </w:r>
      <w:r w:rsidR="001C1E90" w:rsidRPr="000050B8">
        <w:rPr>
          <w:lang w:val="en-GB"/>
        </w:rPr>
        <w:t xml:space="preserve"> the assumption that innovation is fundamentally an urban phenomenon “sits uncomfortably with empirical work showing that innovation occurs in peripheral regions […], that openness</w:t>
      </w:r>
      <w:r w:rsidR="004929F1" w:rsidRPr="000050B8">
        <w:rPr>
          <w:lang w:val="en-GB"/>
        </w:rPr>
        <w:t xml:space="preserve"> – </w:t>
      </w:r>
      <w:r w:rsidR="001C1E90" w:rsidRPr="000050B8">
        <w:rPr>
          <w:lang w:val="en-GB"/>
        </w:rPr>
        <w:t>at least when measured by the variety and type of external contacts</w:t>
      </w:r>
      <w:r w:rsidR="004929F1" w:rsidRPr="000050B8">
        <w:rPr>
          <w:lang w:val="en-GB"/>
        </w:rPr>
        <w:t xml:space="preserve"> – </w:t>
      </w:r>
      <w:r w:rsidR="001C1E90" w:rsidRPr="000050B8">
        <w:rPr>
          <w:lang w:val="en-GB"/>
        </w:rPr>
        <w:t xml:space="preserve">is not necessarily higher in cities […], and that ﬁrm-level innovativeness is only weakly associated with location across the metropolitan to peripheral small town spectrum” (Shearmur, 2015: </w:t>
      </w:r>
      <w:r w:rsidR="00822143">
        <w:rPr>
          <w:lang w:val="en-GB"/>
        </w:rPr>
        <w:t xml:space="preserve">p. </w:t>
      </w:r>
      <w:r w:rsidR="001C1E90" w:rsidRPr="000050B8">
        <w:rPr>
          <w:lang w:val="en-GB"/>
        </w:rPr>
        <w:t>424). A</w:t>
      </w:r>
      <w:r w:rsidR="00AF1CF6" w:rsidRPr="000050B8">
        <w:rPr>
          <w:lang w:val="en-GB"/>
        </w:rPr>
        <w:t xml:space="preserve"> growing body of research has tended to </w:t>
      </w:r>
      <w:r w:rsidR="001C1E90" w:rsidRPr="000050B8">
        <w:rPr>
          <w:lang w:val="en-GB"/>
        </w:rPr>
        <w:t>stress</w:t>
      </w:r>
      <w:r w:rsidR="00A103A3" w:rsidRPr="000050B8">
        <w:rPr>
          <w:lang w:val="en-GB"/>
        </w:rPr>
        <w:t>, first,</w:t>
      </w:r>
      <w:r w:rsidR="004929F1" w:rsidRPr="000050B8">
        <w:rPr>
          <w:lang w:val="en-GB"/>
        </w:rPr>
        <w:t xml:space="preserve"> that </w:t>
      </w:r>
      <w:r w:rsidR="009C1D12">
        <w:rPr>
          <w:lang w:val="en-GB"/>
        </w:rPr>
        <w:t>inter-</w:t>
      </w:r>
      <w:r w:rsidR="004929F1" w:rsidRPr="000050B8">
        <w:rPr>
          <w:lang w:val="en-GB"/>
        </w:rPr>
        <w:t>firm cooperation differ</w:t>
      </w:r>
      <w:r w:rsidR="009C1D12">
        <w:rPr>
          <w:lang w:val="en-GB"/>
        </w:rPr>
        <w:t>s</w:t>
      </w:r>
      <w:r w:rsidR="004929F1" w:rsidRPr="000050B8">
        <w:rPr>
          <w:lang w:val="en-GB"/>
        </w:rPr>
        <w:t xml:space="preserve"> </w:t>
      </w:r>
      <w:r w:rsidR="006B2A0A">
        <w:rPr>
          <w:lang w:val="en-GB"/>
        </w:rPr>
        <w:t>between regions</w:t>
      </w:r>
      <w:r w:rsidR="004929F1" w:rsidRPr="000050B8">
        <w:rPr>
          <w:lang w:val="en-GB"/>
        </w:rPr>
        <w:t xml:space="preserve">, independent </w:t>
      </w:r>
      <w:r w:rsidR="009C1D12">
        <w:rPr>
          <w:lang w:val="en-GB"/>
        </w:rPr>
        <w:t>of</w:t>
      </w:r>
      <w:r w:rsidR="009C1D12" w:rsidRPr="000050B8">
        <w:rPr>
          <w:lang w:val="en-GB"/>
        </w:rPr>
        <w:t xml:space="preserve"> </w:t>
      </w:r>
      <w:r w:rsidR="006B2A0A">
        <w:rPr>
          <w:lang w:val="en-GB"/>
        </w:rPr>
        <w:t>regional firm</w:t>
      </w:r>
      <w:r w:rsidR="006B2A0A" w:rsidRPr="000050B8">
        <w:rPr>
          <w:lang w:val="en-GB"/>
        </w:rPr>
        <w:t xml:space="preserve"> </w:t>
      </w:r>
      <w:r w:rsidR="004929F1" w:rsidRPr="000050B8">
        <w:rPr>
          <w:lang w:val="en-GB"/>
        </w:rPr>
        <w:t>characteristics (Fritsch, 2003); second,</w:t>
      </w:r>
      <w:r w:rsidR="00A103A3" w:rsidRPr="000050B8">
        <w:rPr>
          <w:lang w:val="en-GB"/>
        </w:rPr>
        <w:t xml:space="preserve"> that geographic proximity </w:t>
      </w:r>
      <w:r w:rsidR="007A6646">
        <w:rPr>
          <w:lang w:val="en-GB"/>
        </w:rPr>
        <w:t xml:space="preserve">between cooperation partners </w:t>
      </w:r>
      <w:r w:rsidR="00A103A3" w:rsidRPr="000050B8">
        <w:rPr>
          <w:lang w:val="en-GB"/>
        </w:rPr>
        <w:t xml:space="preserve">may be less </w:t>
      </w:r>
      <w:r w:rsidR="00C13DF6" w:rsidRPr="000050B8">
        <w:rPr>
          <w:lang w:val="en-GB"/>
        </w:rPr>
        <w:t xml:space="preserve">important for </w:t>
      </w:r>
      <w:r w:rsidR="00A103A3" w:rsidRPr="000050B8">
        <w:rPr>
          <w:lang w:val="en-GB"/>
        </w:rPr>
        <w:t>innovation than hitherto assumed</w:t>
      </w:r>
      <w:r w:rsidR="000F2A5B">
        <w:rPr>
          <w:lang w:val="en-GB"/>
        </w:rPr>
        <w:t xml:space="preserve"> (Fitjar </w:t>
      </w:r>
      <w:r w:rsidR="001D2316">
        <w:rPr>
          <w:lang w:val="en-GB"/>
        </w:rPr>
        <w:t xml:space="preserve">&amp; </w:t>
      </w:r>
      <w:r w:rsidR="000F2A5B">
        <w:rPr>
          <w:lang w:val="en-GB"/>
        </w:rPr>
        <w:t>Rodríguez-Pose</w:t>
      </w:r>
      <w:r w:rsidR="001D2316">
        <w:rPr>
          <w:lang w:val="en-GB"/>
        </w:rPr>
        <w:t>,</w:t>
      </w:r>
      <w:r w:rsidR="000F2A5B">
        <w:rPr>
          <w:lang w:val="en-GB"/>
        </w:rPr>
        <w:t xml:space="preserve"> 2011)</w:t>
      </w:r>
      <w:r w:rsidR="004929F1" w:rsidRPr="000050B8">
        <w:rPr>
          <w:lang w:val="en-GB"/>
        </w:rPr>
        <w:t>;</w:t>
      </w:r>
      <w:r w:rsidR="00A103A3" w:rsidRPr="000050B8">
        <w:rPr>
          <w:lang w:val="en-GB"/>
        </w:rPr>
        <w:t xml:space="preserve"> and, </w:t>
      </w:r>
      <w:r w:rsidR="004929F1" w:rsidRPr="000050B8">
        <w:rPr>
          <w:lang w:val="en-GB"/>
        </w:rPr>
        <w:t>third</w:t>
      </w:r>
      <w:r w:rsidR="00A103A3" w:rsidRPr="000050B8">
        <w:rPr>
          <w:lang w:val="en-GB"/>
        </w:rPr>
        <w:t>,</w:t>
      </w:r>
      <w:r w:rsidR="00AF1CF6" w:rsidRPr="000050B8">
        <w:rPr>
          <w:lang w:val="en-GB"/>
        </w:rPr>
        <w:t xml:space="preserve"> </w:t>
      </w:r>
      <w:r w:rsidRPr="000050B8">
        <w:rPr>
          <w:lang w:val="en-GB"/>
        </w:rPr>
        <w:t>that</w:t>
      </w:r>
      <w:r w:rsidR="00AF1CF6" w:rsidRPr="000050B8">
        <w:rPr>
          <w:lang w:val="en-GB"/>
        </w:rPr>
        <w:t xml:space="preserve"> innovation can</w:t>
      </w:r>
      <w:r w:rsidR="00860B72" w:rsidRPr="000050B8">
        <w:rPr>
          <w:lang w:val="en-GB"/>
        </w:rPr>
        <w:t xml:space="preserve"> happen –</w:t>
      </w:r>
      <w:r w:rsidR="00AF1CF6" w:rsidRPr="000050B8">
        <w:rPr>
          <w:lang w:val="en-GB"/>
        </w:rPr>
        <w:t xml:space="preserve"> </w:t>
      </w:r>
      <w:r w:rsidR="00AF1CF6" w:rsidRPr="000050B8">
        <w:rPr>
          <w:lang w:val="en-GB"/>
        </w:rPr>
        <w:lastRenderedPageBreak/>
        <w:t>and often happens</w:t>
      </w:r>
      <w:r w:rsidR="00860B72" w:rsidRPr="000050B8">
        <w:rPr>
          <w:lang w:val="en-GB"/>
        </w:rPr>
        <w:t xml:space="preserve"> –</w:t>
      </w:r>
      <w:r w:rsidR="00AF1CF6" w:rsidRPr="000050B8">
        <w:rPr>
          <w:lang w:val="en-GB"/>
        </w:rPr>
        <w:t xml:space="preserve"> outside large cities</w:t>
      </w:r>
      <w:r w:rsidR="00E93A4C">
        <w:rPr>
          <w:lang w:val="en-GB"/>
        </w:rPr>
        <w:t xml:space="preserve"> (</w:t>
      </w:r>
      <w:r w:rsidR="000F2A5B">
        <w:rPr>
          <w:lang w:val="en-GB"/>
        </w:rPr>
        <w:t>Shearmur</w:t>
      </w:r>
      <w:r w:rsidR="001D2316">
        <w:rPr>
          <w:lang w:val="en-GB"/>
        </w:rPr>
        <w:t>,</w:t>
      </w:r>
      <w:r w:rsidR="000F2A5B">
        <w:rPr>
          <w:lang w:val="en-GB"/>
        </w:rPr>
        <w:t xml:space="preserve"> 2017; </w:t>
      </w:r>
      <w:r w:rsidR="00E93A4C">
        <w:rPr>
          <w:lang w:val="en-GB"/>
        </w:rPr>
        <w:t>Eder</w:t>
      </w:r>
      <w:r w:rsidR="001D2316">
        <w:rPr>
          <w:lang w:val="en-GB"/>
        </w:rPr>
        <w:t>,</w:t>
      </w:r>
      <w:r w:rsidR="00E93A4C">
        <w:rPr>
          <w:lang w:val="en-GB"/>
        </w:rPr>
        <w:t xml:space="preserve"> </w:t>
      </w:r>
      <w:r w:rsidR="00E34566">
        <w:rPr>
          <w:lang w:val="en-GB"/>
        </w:rPr>
        <w:t>2019</w:t>
      </w:r>
      <w:r w:rsidR="000F2A5B">
        <w:rPr>
          <w:lang w:val="en-GB"/>
        </w:rPr>
        <w:t xml:space="preserve">; Frick </w:t>
      </w:r>
      <w:r w:rsidR="001D2316">
        <w:rPr>
          <w:lang w:val="en-GB"/>
        </w:rPr>
        <w:t xml:space="preserve">&amp; </w:t>
      </w:r>
      <w:r w:rsidR="000F2A5B">
        <w:rPr>
          <w:lang w:val="en-GB"/>
        </w:rPr>
        <w:t>Rodríguez-Pose</w:t>
      </w:r>
      <w:r w:rsidR="001D2316">
        <w:rPr>
          <w:lang w:val="en-GB"/>
        </w:rPr>
        <w:t>,</w:t>
      </w:r>
      <w:r w:rsidR="000F2A5B">
        <w:rPr>
          <w:lang w:val="en-GB"/>
        </w:rPr>
        <w:t xml:space="preserve"> 2018</w:t>
      </w:r>
      <w:r w:rsidR="00E93A4C">
        <w:rPr>
          <w:lang w:val="en-GB"/>
        </w:rPr>
        <w:t>)</w:t>
      </w:r>
      <w:r w:rsidR="00860B72" w:rsidRPr="000050B8">
        <w:rPr>
          <w:lang w:val="en-GB"/>
        </w:rPr>
        <w:t xml:space="preserve">. </w:t>
      </w:r>
    </w:p>
    <w:p w14:paraId="6183C273" w14:textId="4967DC7A" w:rsidR="00A103A3" w:rsidRPr="000050B8" w:rsidRDefault="00A819E0" w:rsidP="00C43B94">
      <w:pPr>
        <w:spacing w:line="480" w:lineRule="auto"/>
        <w:rPr>
          <w:lang w:val="en-GB"/>
        </w:rPr>
      </w:pPr>
      <w:r>
        <w:rPr>
          <w:lang w:val="en-GB"/>
        </w:rPr>
        <w:t>First</w:t>
      </w:r>
      <w:r w:rsidR="00A103A3" w:rsidRPr="000050B8">
        <w:rPr>
          <w:lang w:val="en-GB"/>
        </w:rPr>
        <w:t>,</w:t>
      </w:r>
      <w:r w:rsidR="00617EAD" w:rsidRPr="000050B8">
        <w:rPr>
          <w:lang w:val="en-GB"/>
        </w:rPr>
        <w:t xml:space="preserve"> even in densely agglomerated areas, innovative actors may depend more on connections to actors in distant places</w:t>
      </w:r>
      <w:r w:rsidR="00FC5C33" w:rsidRPr="000050B8">
        <w:rPr>
          <w:lang w:val="en-GB"/>
        </w:rPr>
        <w:t xml:space="preserve"> than on local contacts</w:t>
      </w:r>
      <w:r w:rsidR="00617EAD" w:rsidRPr="000050B8">
        <w:rPr>
          <w:lang w:val="en-GB"/>
        </w:rPr>
        <w:t xml:space="preserve"> (Huber</w:t>
      </w:r>
      <w:r w:rsidR="001D2316">
        <w:rPr>
          <w:lang w:val="en-GB"/>
        </w:rPr>
        <w:t>,</w:t>
      </w:r>
      <w:r w:rsidR="00617EAD" w:rsidRPr="000050B8">
        <w:rPr>
          <w:lang w:val="en-GB"/>
        </w:rPr>
        <w:t xml:space="preserve"> 2012).</w:t>
      </w:r>
      <w:r w:rsidR="00A103A3" w:rsidRPr="000050B8">
        <w:rPr>
          <w:lang w:val="en-GB"/>
        </w:rPr>
        <w:t xml:space="preserve"> </w:t>
      </w:r>
      <w:r w:rsidR="00D62081" w:rsidRPr="000050B8">
        <w:rPr>
          <w:lang w:val="en-GB"/>
        </w:rPr>
        <w:t xml:space="preserve">Firms in larger, urban regions have greater access to extra-regional knowledge. Research on the </w:t>
      </w:r>
      <w:r w:rsidRPr="000050B8">
        <w:rPr>
          <w:lang w:val="en-GB"/>
        </w:rPr>
        <w:t>world</w:t>
      </w:r>
      <w:r>
        <w:rPr>
          <w:lang w:val="en-GB"/>
        </w:rPr>
        <w:t>-</w:t>
      </w:r>
      <w:r w:rsidR="00D62081" w:rsidRPr="000050B8">
        <w:rPr>
          <w:lang w:val="en-GB"/>
        </w:rPr>
        <w:t>city network emphasize</w:t>
      </w:r>
      <w:r w:rsidR="007C5C9D" w:rsidRPr="000050B8">
        <w:rPr>
          <w:lang w:val="en-GB"/>
        </w:rPr>
        <w:t>s</w:t>
      </w:r>
      <w:r w:rsidR="00D62081" w:rsidRPr="000050B8">
        <w:rPr>
          <w:lang w:val="en-GB"/>
        </w:rPr>
        <w:t xml:space="preserve"> the growing linkages between the world’s largest cities (Beaverstock</w:t>
      </w:r>
      <w:r w:rsidR="001D2316">
        <w:rPr>
          <w:lang w:val="en-GB"/>
        </w:rPr>
        <w:t>, Smith, &amp; Taylor,</w:t>
      </w:r>
      <w:r w:rsidR="00D62081" w:rsidRPr="000050B8">
        <w:rPr>
          <w:lang w:val="en-GB"/>
        </w:rPr>
        <w:t xml:space="preserve"> 2000; Taylor</w:t>
      </w:r>
      <w:r w:rsidR="001D2316">
        <w:rPr>
          <w:lang w:val="en-GB"/>
        </w:rPr>
        <w:t>,</w:t>
      </w:r>
      <w:r w:rsidR="00D62081" w:rsidRPr="000050B8">
        <w:rPr>
          <w:lang w:val="en-GB"/>
        </w:rPr>
        <w:t xml:space="preserve"> 2001). Indeed, firms located in the Norwegian capital region have more international partners than those located in smaller</w:t>
      </w:r>
      <w:r w:rsidR="002A35F3">
        <w:rPr>
          <w:lang w:val="en-GB"/>
        </w:rPr>
        <w:t xml:space="preserve"> towns and</w:t>
      </w:r>
      <w:r w:rsidR="00D62081" w:rsidRPr="000050B8">
        <w:rPr>
          <w:lang w:val="en-GB"/>
        </w:rPr>
        <w:t xml:space="preserve"> regions, leading Herstad and Ebersberger (2015) to conclude that place-specific resources also support the development of international linkages</w:t>
      </w:r>
      <w:r w:rsidR="00EF4864">
        <w:rPr>
          <w:lang w:val="en-GB"/>
        </w:rPr>
        <w:t xml:space="preserve"> (see also Fitjar </w:t>
      </w:r>
      <w:r w:rsidR="001D2316">
        <w:rPr>
          <w:lang w:val="en-GB"/>
        </w:rPr>
        <w:t xml:space="preserve">&amp; </w:t>
      </w:r>
      <w:r w:rsidR="00EF4864">
        <w:rPr>
          <w:lang w:val="en-GB"/>
        </w:rPr>
        <w:t>Rodríguez-Pose</w:t>
      </w:r>
      <w:r w:rsidR="001D2316">
        <w:rPr>
          <w:lang w:val="en-GB"/>
        </w:rPr>
        <w:t>,</w:t>
      </w:r>
      <w:r w:rsidR="00EF4864">
        <w:rPr>
          <w:lang w:val="en-GB"/>
        </w:rPr>
        <w:t xml:space="preserve"> 2014)</w:t>
      </w:r>
      <w:r w:rsidR="00D62081" w:rsidRPr="000050B8">
        <w:rPr>
          <w:lang w:val="en-GB"/>
        </w:rPr>
        <w:t xml:space="preserve">. </w:t>
      </w:r>
      <w:r w:rsidR="00617EAD" w:rsidRPr="000050B8">
        <w:rPr>
          <w:lang w:val="en-GB"/>
        </w:rPr>
        <w:t xml:space="preserve">Excessive </w:t>
      </w:r>
      <w:r w:rsidR="00A103A3" w:rsidRPr="000050B8">
        <w:rPr>
          <w:lang w:val="en-GB"/>
        </w:rPr>
        <w:t xml:space="preserve">physical proximity </w:t>
      </w:r>
      <w:r w:rsidR="00617EAD" w:rsidRPr="000050B8">
        <w:rPr>
          <w:lang w:val="en-GB"/>
        </w:rPr>
        <w:t>may even</w:t>
      </w:r>
      <w:r w:rsidR="00617EAD" w:rsidRPr="00C437E1">
        <w:rPr>
          <w:lang w:val="en-GB"/>
        </w:rPr>
        <w:t xml:space="preserve"> </w:t>
      </w:r>
      <w:r w:rsidR="00A103A3" w:rsidRPr="00C437E1">
        <w:rPr>
          <w:lang w:val="en-GB"/>
        </w:rPr>
        <w:t xml:space="preserve">be harmful. The ‘proximity paradox’ (Boschma </w:t>
      </w:r>
      <w:r w:rsidR="001D2316">
        <w:rPr>
          <w:lang w:val="en-GB"/>
        </w:rPr>
        <w:t>&amp;</w:t>
      </w:r>
      <w:r w:rsidR="001D2316" w:rsidRPr="00C437E1">
        <w:rPr>
          <w:lang w:val="en-GB"/>
        </w:rPr>
        <w:t xml:space="preserve"> </w:t>
      </w:r>
      <w:r w:rsidR="00A103A3" w:rsidRPr="00C437E1">
        <w:rPr>
          <w:lang w:val="en-GB"/>
        </w:rPr>
        <w:t>Frenken</w:t>
      </w:r>
      <w:r w:rsidR="001D2316">
        <w:rPr>
          <w:lang w:val="en-GB"/>
        </w:rPr>
        <w:t>,</w:t>
      </w:r>
      <w:r w:rsidR="00A103A3" w:rsidRPr="00C437E1">
        <w:rPr>
          <w:lang w:val="en-GB"/>
        </w:rPr>
        <w:t xml:space="preserve"> 2010) or ‘Goldilocks principle’ (Fitj</w:t>
      </w:r>
      <w:r w:rsidR="00A103A3" w:rsidRPr="000050B8">
        <w:rPr>
          <w:lang w:val="en-GB"/>
        </w:rPr>
        <w:t>ar</w:t>
      </w:r>
      <w:r w:rsidR="001D2316">
        <w:rPr>
          <w:lang w:val="en-GB"/>
        </w:rPr>
        <w:t>, Huber, &amp; Rodríguez-Pose,</w:t>
      </w:r>
      <w:r w:rsidR="00A103A3" w:rsidRPr="000050B8">
        <w:rPr>
          <w:lang w:val="en-GB"/>
        </w:rPr>
        <w:t xml:space="preserve"> 2016) notes that while some proximity is necessary for successful knowledge sharing, excessive proximity reduces the scope for learning. Indeed, various contributions have </w:t>
      </w:r>
      <w:r w:rsidR="00257440" w:rsidRPr="000050B8">
        <w:rPr>
          <w:lang w:val="en-GB"/>
        </w:rPr>
        <w:t>indicated</w:t>
      </w:r>
      <w:r w:rsidR="00A103A3" w:rsidRPr="000050B8">
        <w:rPr>
          <w:lang w:val="en-GB"/>
        </w:rPr>
        <w:t xml:space="preserve"> that if the preoccupation with local collaboration becomes too dominant, this may lead to myopic knowledge search and lock-in to established ways of thinking (Amin </w:t>
      </w:r>
      <w:r w:rsidR="001D2316">
        <w:rPr>
          <w:lang w:val="en-GB"/>
        </w:rPr>
        <w:t>&amp;</w:t>
      </w:r>
      <w:r w:rsidR="001D2316" w:rsidRPr="000050B8">
        <w:rPr>
          <w:lang w:val="en-GB"/>
        </w:rPr>
        <w:t xml:space="preserve"> </w:t>
      </w:r>
      <w:r w:rsidR="00A103A3" w:rsidRPr="000050B8">
        <w:rPr>
          <w:lang w:val="en-GB"/>
        </w:rPr>
        <w:t>Cohendet</w:t>
      </w:r>
      <w:r w:rsidR="001D2316">
        <w:rPr>
          <w:lang w:val="en-GB"/>
        </w:rPr>
        <w:t>,</w:t>
      </w:r>
      <w:r w:rsidR="00A103A3" w:rsidRPr="000050B8">
        <w:rPr>
          <w:lang w:val="en-GB"/>
        </w:rPr>
        <w:t xml:space="preserve"> 2004; Giuliani </w:t>
      </w:r>
      <w:r w:rsidR="001D2316">
        <w:rPr>
          <w:lang w:val="en-GB"/>
        </w:rPr>
        <w:t>&amp;</w:t>
      </w:r>
      <w:r w:rsidR="001D2316" w:rsidRPr="000050B8">
        <w:rPr>
          <w:lang w:val="en-GB"/>
        </w:rPr>
        <w:t xml:space="preserve"> </w:t>
      </w:r>
      <w:r w:rsidR="00A103A3" w:rsidRPr="000050B8">
        <w:rPr>
          <w:lang w:val="en-GB"/>
        </w:rPr>
        <w:t>Bell</w:t>
      </w:r>
      <w:r w:rsidR="001D2316">
        <w:rPr>
          <w:lang w:val="en-GB"/>
        </w:rPr>
        <w:t>,</w:t>
      </w:r>
      <w:r w:rsidR="00A103A3" w:rsidRPr="000050B8">
        <w:rPr>
          <w:lang w:val="en-GB"/>
        </w:rPr>
        <w:t xml:space="preserve"> 2005).</w:t>
      </w:r>
      <w:r w:rsidR="00257440" w:rsidRPr="000050B8">
        <w:rPr>
          <w:lang w:val="en-GB"/>
        </w:rPr>
        <w:t xml:space="preserve"> As Solesvik and Gulbrandsen (2014:</w:t>
      </w:r>
      <w:r w:rsidR="001D2316">
        <w:rPr>
          <w:lang w:val="en-GB"/>
        </w:rPr>
        <w:t xml:space="preserve"> p. </w:t>
      </w:r>
      <w:r w:rsidR="00257440" w:rsidRPr="000050B8">
        <w:rPr>
          <w:lang w:val="en-GB"/>
        </w:rPr>
        <w:t>24) underline</w:t>
      </w:r>
      <w:r w:rsidR="009C1D12">
        <w:rPr>
          <w:lang w:val="en-GB"/>
        </w:rPr>
        <w:t>,</w:t>
      </w:r>
      <w:r w:rsidR="00257440" w:rsidRPr="000050B8">
        <w:rPr>
          <w:lang w:val="en-GB"/>
        </w:rPr>
        <w:t xml:space="preserve"> “many forms of collaboration seem to have little impact on innovation”.</w:t>
      </w:r>
    </w:p>
    <w:p w14:paraId="7BBD9B8A" w14:textId="51D5A7BA" w:rsidR="009C1D12" w:rsidRDefault="00A819E0" w:rsidP="00C43B94">
      <w:pPr>
        <w:spacing w:line="480" w:lineRule="auto"/>
        <w:rPr>
          <w:lang w:val="en-GB"/>
        </w:rPr>
      </w:pPr>
      <w:r>
        <w:rPr>
          <w:lang w:val="en-GB"/>
        </w:rPr>
        <w:t>Second</w:t>
      </w:r>
      <w:r w:rsidR="00A103A3" w:rsidRPr="000050B8">
        <w:rPr>
          <w:lang w:val="en-GB"/>
        </w:rPr>
        <w:t>, innovative actors outside big cities do not stand still. L</w:t>
      </w:r>
      <w:r w:rsidR="00860B72" w:rsidRPr="000050B8">
        <w:rPr>
          <w:lang w:val="en-GB"/>
        </w:rPr>
        <w:t>ower densit</w:t>
      </w:r>
      <w:r w:rsidR="00A103A3" w:rsidRPr="000050B8">
        <w:rPr>
          <w:lang w:val="en-GB"/>
        </w:rPr>
        <w:t>y</w:t>
      </w:r>
      <w:r w:rsidR="00860B72" w:rsidRPr="000050B8">
        <w:rPr>
          <w:lang w:val="en-GB"/>
        </w:rPr>
        <w:t xml:space="preserve"> make</w:t>
      </w:r>
      <w:r w:rsidR="00537D0D">
        <w:rPr>
          <w:lang w:val="en-GB"/>
        </w:rPr>
        <w:t>s</w:t>
      </w:r>
      <w:r w:rsidR="00860B72" w:rsidRPr="000050B8">
        <w:rPr>
          <w:lang w:val="en-GB"/>
        </w:rPr>
        <w:t xml:space="preserve"> long-distance interaction a must for firms outside big cities</w:t>
      </w:r>
      <w:r w:rsidR="00A103A3" w:rsidRPr="000050B8">
        <w:rPr>
          <w:lang w:val="en-GB"/>
        </w:rPr>
        <w:t>.</w:t>
      </w:r>
      <w:r w:rsidR="00DC4F96" w:rsidRPr="000050B8">
        <w:rPr>
          <w:lang w:val="en-GB"/>
        </w:rPr>
        <w:t xml:space="preserve"> This implies that </w:t>
      </w:r>
      <w:r w:rsidR="00A103A3" w:rsidRPr="000050B8">
        <w:rPr>
          <w:lang w:val="en-GB"/>
        </w:rPr>
        <w:t>k</w:t>
      </w:r>
      <w:r w:rsidR="00E214B2" w:rsidRPr="000050B8">
        <w:rPr>
          <w:lang w:val="en-GB"/>
        </w:rPr>
        <w:t>nowledge sharing</w:t>
      </w:r>
      <w:r w:rsidR="00860B72" w:rsidRPr="000050B8">
        <w:rPr>
          <w:lang w:val="en-GB"/>
        </w:rPr>
        <w:t xml:space="preserve"> at arm’s length</w:t>
      </w:r>
      <w:r w:rsidR="00A103A3" w:rsidRPr="000050B8">
        <w:rPr>
          <w:lang w:val="en-GB"/>
        </w:rPr>
        <w:t xml:space="preserve"> is frequently</w:t>
      </w:r>
      <w:r w:rsidR="00DE3725" w:rsidRPr="000050B8">
        <w:rPr>
          <w:lang w:val="en-GB"/>
        </w:rPr>
        <w:t xml:space="preserve"> more common than what the geography of innovation</w:t>
      </w:r>
      <w:r w:rsidR="009C1D12">
        <w:rPr>
          <w:lang w:val="en-GB"/>
        </w:rPr>
        <w:t xml:space="preserve"> literature</w:t>
      </w:r>
      <w:r w:rsidR="00DE3725" w:rsidRPr="000050B8">
        <w:rPr>
          <w:lang w:val="en-GB"/>
        </w:rPr>
        <w:t xml:space="preserve"> </w:t>
      </w:r>
      <w:r w:rsidR="0077747C">
        <w:rPr>
          <w:lang w:val="en-GB"/>
        </w:rPr>
        <w:t xml:space="preserve">has acknowledged </w:t>
      </w:r>
      <w:r w:rsidR="00DE3725" w:rsidRPr="000050B8">
        <w:rPr>
          <w:lang w:val="en-GB"/>
        </w:rPr>
        <w:t>(</w:t>
      </w:r>
      <w:r w:rsidR="001F3DD1" w:rsidRPr="000050B8">
        <w:rPr>
          <w:lang w:val="en-GB"/>
        </w:rPr>
        <w:t xml:space="preserve">e.g. </w:t>
      </w:r>
      <w:r w:rsidR="00DE3725" w:rsidRPr="000050B8">
        <w:rPr>
          <w:lang w:val="en-GB"/>
        </w:rPr>
        <w:t>Andersson</w:t>
      </w:r>
      <w:r w:rsidR="001D2316">
        <w:rPr>
          <w:lang w:val="en-GB"/>
        </w:rPr>
        <w:t xml:space="preserve">, Quigley, &amp; </w:t>
      </w:r>
      <w:proofErr w:type="spellStart"/>
      <w:r w:rsidR="001D2316">
        <w:rPr>
          <w:lang w:val="en-GB"/>
        </w:rPr>
        <w:t>Wilhelmsson</w:t>
      </w:r>
      <w:proofErr w:type="spellEnd"/>
      <w:r w:rsidR="001D2316">
        <w:rPr>
          <w:lang w:val="en-GB"/>
        </w:rPr>
        <w:t>,</w:t>
      </w:r>
      <w:r w:rsidR="00DE3725" w:rsidRPr="000050B8">
        <w:rPr>
          <w:lang w:val="en-GB"/>
        </w:rPr>
        <w:t xml:space="preserve"> 2005; </w:t>
      </w:r>
      <w:proofErr w:type="spellStart"/>
      <w:r w:rsidR="00DE3725" w:rsidRPr="000050B8">
        <w:rPr>
          <w:lang w:val="en-GB"/>
        </w:rPr>
        <w:t>Doloreux</w:t>
      </w:r>
      <w:proofErr w:type="spellEnd"/>
      <w:r w:rsidR="00DE3725" w:rsidRPr="000050B8">
        <w:rPr>
          <w:lang w:val="en-GB"/>
        </w:rPr>
        <w:t xml:space="preserve"> </w:t>
      </w:r>
      <w:r w:rsidR="001D2316">
        <w:rPr>
          <w:lang w:val="en-GB"/>
        </w:rPr>
        <w:t>&amp;</w:t>
      </w:r>
      <w:r w:rsidR="001D2316" w:rsidRPr="000050B8">
        <w:rPr>
          <w:lang w:val="en-GB"/>
        </w:rPr>
        <w:t xml:space="preserve"> </w:t>
      </w:r>
      <w:r w:rsidR="00DE3725" w:rsidRPr="000050B8">
        <w:rPr>
          <w:lang w:val="en-GB"/>
        </w:rPr>
        <w:t>Dionne</w:t>
      </w:r>
      <w:r w:rsidR="001D2316">
        <w:rPr>
          <w:lang w:val="en-GB"/>
        </w:rPr>
        <w:t>,</w:t>
      </w:r>
      <w:r w:rsidR="00DE3725" w:rsidRPr="000050B8">
        <w:rPr>
          <w:lang w:val="en-GB"/>
        </w:rPr>
        <w:t xml:space="preserve"> 2008; Fitjar </w:t>
      </w:r>
      <w:r w:rsidR="001D2316">
        <w:rPr>
          <w:lang w:val="en-GB"/>
        </w:rPr>
        <w:t>&amp;</w:t>
      </w:r>
      <w:r w:rsidR="001D2316" w:rsidRPr="000050B8">
        <w:rPr>
          <w:lang w:val="en-GB"/>
        </w:rPr>
        <w:t xml:space="preserve"> </w:t>
      </w:r>
      <w:r w:rsidR="00DE3725" w:rsidRPr="000050B8">
        <w:rPr>
          <w:lang w:val="en-GB"/>
        </w:rPr>
        <w:t>Rodríguez-Pose</w:t>
      </w:r>
      <w:r w:rsidR="001D2316">
        <w:rPr>
          <w:lang w:val="en-GB"/>
        </w:rPr>
        <w:t>,</w:t>
      </w:r>
      <w:r w:rsidR="00DE3725" w:rsidRPr="000050B8">
        <w:rPr>
          <w:lang w:val="en-GB"/>
        </w:rPr>
        <w:t xml:space="preserve"> 2011; </w:t>
      </w:r>
      <w:proofErr w:type="spellStart"/>
      <w:r w:rsidR="00DE3725" w:rsidRPr="000050B8">
        <w:rPr>
          <w:lang w:val="en-GB"/>
        </w:rPr>
        <w:t>Tödtling</w:t>
      </w:r>
      <w:proofErr w:type="spellEnd"/>
      <w:r w:rsidR="00DE3725" w:rsidRPr="000050B8">
        <w:rPr>
          <w:lang w:val="en-GB"/>
        </w:rPr>
        <w:t xml:space="preserve"> et al. 2012; Rodríguez-Pose </w:t>
      </w:r>
      <w:r w:rsidR="001D2316">
        <w:rPr>
          <w:lang w:val="en-GB"/>
        </w:rPr>
        <w:t>&amp;</w:t>
      </w:r>
      <w:r w:rsidR="001D2316" w:rsidRPr="000050B8">
        <w:rPr>
          <w:lang w:val="en-GB"/>
        </w:rPr>
        <w:t xml:space="preserve"> </w:t>
      </w:r>
      <w:r w:rsidR="00DE3725" w:rsidRPr="000050B8">
        <w:rPr>
          <w:lang w:val="en-GB"/>
        </w:rPr>
        <w:t>Fitjar</w:t>
      </w:r>
      <w:r w:rsidR="001D2316">
        <w:rPr>
          <w:lang w:val="en-GB"/>
        </w:rPr>
        <w:t>,</w:t>
      </w:r>
      <w:r w:rsidR="00DE3725" w:rsidRPr="000050B8">
        <w:rPr>
          <w:lang w:val="en-GB"/>
        </w:rPr>
        <w:t xml:space="preserve"> 2013; </w:t>
      </w:r>
      <w:r w:rsidR="00EF4864">
        <w:rPr>
          <w:lang w:val="en-GB"/>
        </w:rPr>
        <w:t xml:space="preserve">Fitjar </w:t>
      </w:r>
      <w:r w:rsidR="001D2316">
        <w:rPr>
          <w:lang w:val="en-GB"/>
        </w:rPr>
        <w:t xml:space="preserve">&amp; </w:t>
      </w:r>
      <w:r w:rsidR="00EF4864">
        <w:rPr>
          <w:lang w:val="en-GB"/>
        </w:rPr>
        <w:t>Huber</w:t>
      </w:r>
      <w:r w:rsidR="001D2316">
        <w:rPr>
          <w:lang w:val="en-GB"/>
        </w:rPr>
        <w:t>,</w:t>
      </w:r>
      <w:r w:rsidR="00EF4864">
        <w:rPr>
          <w:lang w:val="en-GB"/>
        </w:rPr>
        <w:t xml:space="preserve"> 2015; </w:t>
      </w:r>
      <w:r w:rsidR="00DE3725" w:rsidRPr="000050B8">
        <w:rPr>
          <w:lang w:val="en-GB"/>
        </w:rPr>
        <w:t xml:space="preserve">Grillitsch </w:t>
      </w:r>
      <w:r w:rsidR="001D2316">
        <w:rPr>
          <w:lang w:val="en-GB"/>
        </w:rPr>
        <w:t>&amp;</w:t>
      </w:r>
      <w:r w:rsidR="001D2316" w:rsidRPr="000050B8">
        <w:rPr>
          <w:lang w:val="en-GB"/>
        </w:rPr>
        <w:t xml:space="preserve"> </w:t>
      </w:r>
      <w:r w:rsidR="00DE3725" w:rsidRPr="000050B8">
        <w:rPr>
          <w:lang w:val="en-GB"/>
        </w:rPr>
        <w:t>Nilsson</w:t>
      </w:r>
      <w:r w:rsidR="001D2316">
        <w:rPr>
          <w:lang w:val="en-GB"/>
        </w:rPr>
        <w:t>,</w:t>
      </w:r>
      <w:r w:rsidR="00DE3725" w:rsidRPr="000050B8">
        <w:rPr>
          <w:lang w:val="en-GB"/>
        </w:rPr>
        <w:t xml:space="preserve"> 2015). </w:t>
      </w:r>
      <w:r w:rsidR="00DC4F96" w:rsidRPr="000050B8">
        <w:rPr>
          <w:lang w:val="en-GB"/>
        </w:rPr>
        <w:t>While knowledge</w:t>
      </w:r>
      <w:r w:rsidR="004348DD" w:rsidRPr="000050B8">
        <w:rPr>
          <w:lang w:val="en-GB"/>
        </w:rPr>
        <w:t xml:space="preserve"> gain at close quarters</w:t>
      </w:r>
      <w:r w:rsidR="00DC4F96" w:rsidRPr="000050B8">
        <w:rPr>
          <w:lang w:val="en-GB"/>
        </w:rPr>
        <w:t xml:space="preserve"> is relatively easy in large urban areas, </w:t>
      </w:r>
      <w:r w:rsidR="004348DD" w:rsidRPr="000050B8">
        <w:rPr>
          <w:lang w:val="en-GB"/>
        </w:rPr>
        <w:t xml:space="preserve">it becomes much more difficult </w:t>
      </w:r>
      <w:r w:rsidR="00DC4F96" w:rsidRPr="000050B8">
        <w:rPr>
          <w:lang w:val="en-GB"/>
        </w:rPr>
        <w:t xml:space="preserve">in more remote or less densely </w:t>
      </w:r>
      <w:r w:rsidR="00DC4F96" w:rsidRPr="000050B8">
        <w:rPr>
          <w:lang w:val="en-GB"/>
        </w:rPr>
        <w:lastRenderedPageBreak/>
        <w:t>populated regions</w:t>
      </w:r>
      <w:r w:rsidR="004348DD" w:rsidRPr="000050B8">
        <w:rPr>
          <w:lang w:val="en-GB"/>
        </w:rPr>
        <w:t>, where the limited number of actors</w:t>
      </w:r>
      <w:r w:rsidR="00DC4F96" w:rsidRPr="000050B8">
        <w:rPr>
          <w:lang w:val="en-GB"/>
        </w:rPr>
        <w:t xml:space="preserve"> represents an important</w:t>
      </w:r>
      <w:r w:rsidR="004348DD" w:rsidRPr="000050B8">
        <w:rPr>
          <w:lang w:val="en-GB"/>
        </w:rPr>
        <w:t xml:space="preserve"> handicap for innovation. To cope with this</w:t>
      </w:r>
      <w:r w:rsidR="00550C82" w:rsidRPr="000050B8">
        <w:rPr>
          <w:lang w:val="en-GB"/>
        </w:rPr>
        <w:t>,</w:t>
      </w:r>
      <w:r w:rsidR="004348DD" w:rsidRPr="000050B8">
        <w:rPr>
          <w:lang w:val="en-GB"/>
        </w:rPr>
        <w:t xml:space="preserve"> </w:t>
      </w:r>
      <w:r w:rsidR="006E0872" w:rsidRPr="000050B8">
        <w:rPr>
          <w:lang w:val="en-GB"/>
        </w:rPr>
        <w:t>firms in peripheral regions</w:t>
      </w:r>
      <w:r w:rsidR="004348DD" w:rsidRPr="000050B8">
        <w:rPr>
          <w:lang w:val="en-GB"/>
        </w:rPr>
        <w:t xml:space="preserve"> must </w:t>
      </w:r>
      <w:r w:rsidR="009E6BFA" w:rsidRPr="000050B8">
        <w:rPr>
          <w:lang w:val="en-GB"/>
        </w:rPr>
        <w:t>compensate</w:t>
      </w:r>
      <w:r w:rsidR="00B77FC3" w:rsidRPr="000050B8">
        <w:rPr>
          <w:lang w:val="en-GB"/>
        </w:rPr>
        <w:t xml:space="preserve"> </w:t>
      </w:r>
      <w:r w:rsidR="00844259" w:rsidRPr="000050B8">
        <w:rPr>
          <w:lang w:val="en-GB"/>
        </w:rPr>
        <w:t>by</w:t>
      </w:r>
      <w:r w:rsidR="00025142" w:rsidRPr="000050B8">
        <w:rPr>
          <w:lang w:val="en-GB"/>
        </w:rPr>
        <w:t xml:space="preserve"> investing </w:t>
      </w:r>
      <w:r w:rsidR="006E0872" w:rsidRPr="000050B8">
        <w:rPr>
          <w:lang w:val="en-GB"/>
        </w:rPr>
        <w:t>more in developing external and, in particular, extra-regional</w:t>
      </w:r>
      <w:r w:rsidR="009230F6" w:rsidRPr="000050B8">
        <w:rPr>
          <w:lang w:val="en-GB"/>
        </w:rPr>
        <w:t>,</w:t>
      </w:r>
      <w:r w:rsidR="00025142" w:rsidRPr="000050B8">
        <w:rPr>
          <w:lang w:val="en-GB"/>
        </w:rPr>
        <w:t xml:space="preserve"> long-distance</w:t>
      </w:r>
      <w:r w:rsidR="006E0872" w:rsidRPr="000050B8">
        <w:rPr>
          <w:lang w:val="en-GB"/>
        </w:rPr>
        <w:t xml:space="preserve"> linkages</w:t>
      </w:r>
      <w:r w:rsidR="00025142" w:rsidRPr="000050B8">
        <w:rPr>
          <w:lang w:val="en-GB"/>
        </w:rPr>
        <w:t xml:space="preserve"> and collaborations</w:t>
      </w:r>
      <w:r w:rsidR="00724B81" w:rsidRPr="000050B8">
        <w:rPr>
          <w:lang w:val="en-GB"/>
        </w:rPr>
        <w:t xml:space="preserve"> (Grillitsch </w:t>
      </w:r>
      <w:r w:rsidR="001D2316">
        <w:rPr>
          <w:lang w:val="en-GB"/>
        </w:rPr>
        <w:t>&amp;</w:t>
      </w:r>
      <w:r w:rsidR="001D2316" w:rsidRPr="000050B8">
        <w:rPr>
          <w:lang w:val="en-GB"/>
        </w:rPr>
        <w:t xml:space="preserve"> </w:t>
      </w:r>
      <w:r w:rsidR="00724B81" w:rsidRPr="000050B8">
        <w:rPr>
          <w:lang w:val="en-GB"/>
        </w:rPr>
        <w:t>Nilsson</w:t>
      </w:r>
      <w:r w:rsidR="001D2316">
        <w:rPr>
          <w:lang w:val="en-GB"/>
        </w:rPr>
        <w:t>,</w:t>
      </w:r>
      <w:r w:rsidR="00724B81" w:rsidRPr="000050B8">
        <w:rPr>
          <w:lang w:val="en-GB"/>
        </w:rPr>
        <w:t xml:space="preserve"> 2015; Jakobsen </w:t>
      </w:r>
      <w:r w:rsidR="001D2316">
        <w:rPr>
          <w:lang w:val="en-GB"/>
        </w:rPr>
        <w:t>&amp;</w:t>
      </w:r>
      <w:r w:rsidR="001D2316" w:rsidRPr="000050B8">
        <w:rPr>
          <w:lang w:val="en-GB"/>
        </w:rPr>
        <w:t xml:space="preserve"> </w:t>
      </w:r>
      <w:r w:rsidR="00724B81" w:rsidRPr="000050B8">
        <w:rPr>
          <w:lang w:val="en-GB"/>
        </w:rPr>
        <w:t>Lorentzen</w:t>
      </w:r>
      <w:r w:rsidR="001D2316">
        <w:rPr>
          <w:lang w:val="en-GB"/>
        </w:rPr>
        <w:t>,</w:t>
      </w:r>
      <w:r w:rsidR="00724B81" w:rsidRPr="000050B8">
        <w:rPr>
          <w:lang w:val="en-GB"/>
        </w:rPr>
        <w:t xml:space="preserve"> 2015).</w:t>
      </w:r>
      <w:r w:rsidR="00470559">
        <w:rPr>
          <w:lang w:val="en-GB"/>
        </w:rPr>
        <w:t xml:space="preserve"> Through links to urban actors, peripheral firms can access urban knowledge</w:t>
      </w:r>
      <w:r w:rsidR="002A35F3">
        <w:rPr>
          <w:lang w:val="en-GB"/>
        </w:rPr>
        <w:t>,</w:t>
      </w:r>
      <w:r w:rsidR="00470559">
        <w:rPr>
          <w:lang w:val="en-GB"/>
        </w:rPr>
        <w:t xml:space="preserve"> while retaining potential other benefits of their peripheral location (Mayer et al. 2016).</w:t>
      </w:r>
      <w:r w:rsidR="00EC3F21">
        <w:rPr>
          <w:lang w:val="en-GB"/>
        </w:rPr>
        <w:t xml:space="preserve"> Furthermore, sorting effects may imply that highly productive firms stay in peripheral regions as transportation costs are relatively less important to them (</w:t>
      </w:r>
      <w:proofErr w:type="spellStart"/>
      <w:r w:rsidR="00EC3F21">
        <w:rPr>
          <w:lang w:val="en-GB"/>
        </w:rPr>
        <w:t>Forslid</w:t>
      </w:r>
      <w:proofErr w:type="spellEnd"/>
      <w:r w:rsidR="00EC3F21">
        <w:rPr>
          <w:lang w:val="en-GB"/>
        </w:rPr>
        <w:t xml:space="preserve"> </w:t>
      </w:r>
      <w:r w:rsidR="001D2316">
        <w:rPr>
          <w:lang w:val="en-GB"/>
        </w:rPr>
        <w:t xml:space="preserve">&amp; </w:t>
      </w:r>
      <w:r w:rsidR="00EC3F21">
        <w:rPr>
          <w:lang w:val="en-GB"/>
        </w:rPr>
        <w:t>Okubo</w:t>
      </w:r>
      <w:r w:rsidR="001D2316">
        <w:rPr>
          <w:lang w:val="en-GB"/>
        </w:rPr>
        <w:t>,</w:t>
      </w:r>
      <w:r w:rsidR="00EC3F21">
        <w:rPr>
          <w:lang w:val="en-GB"/>
        </w:rPr>
        <w:t xml:space="preserve"> 2015).</w:t>
      </w:r>
    </w:p>
    <w:p w14:paraId="1FD540C6" w14:textId="70A7821F" w:rsidR="00025142" w:rsidRPr="000050B8" w:rsidRDefault="008B317D" w:rsidP="00C43B94">
      <w:pPr>
        <w:spacing w:line="480" w:lineRule="auto"/>
        <w:rPr>
          <w:lang w:val="en-GB"/>
        </w:rPr>
      </w:pPr>
      <w:r>
        <w:rPr>
          <w:lang w:val="en-GB"/>
        </w:rPr>
        <w:t>A p</w:t>
      </w:r>
      <w:r w:rsidR="007A6646">
        <w:rPr>
          <w:lang w:val="en-GB"/>
        </w:rPr>
        <w:t>eripheral location has seemingly not held back</w:t>
      </w:r>
      <w:r w:rsidR="00025142" w:rsidRPr="000050B8">
        <w:rPr>
          <w:lang w:val="en-GB"/>
        </w:rPr>
        <w:t xml:space="preserve"> Norwegian firms (e.g. Fitjar </w:t>
      </w:r>
      <w:r w:rsidR="00113910">
        <w:rPr>
          <w:lang w:val="en-GB"/>
        </w:rPr>
        <w:t>&amp;</w:t>
      </w:r>
      <w:r w:rsidR="00113910" w:rsidRPr="000050B8">
        <w:rPr>
          <w:lang w:val="en-GB"/>
        </w:rPr>
        <w:t xml:space="preserve"> </w:t>
      </w:r>
      <w:r w:rsidR="00025142" w:rsidRPr="000050B8">
        <w:rPr>
          <w:lang w:val="en-GB"/>
        </w:rPr>
        <w:t>Rodríguez-Pose</w:t>
      </w:r>
      <w:r w:rsidR="00113910">
        <w:rPr>
          <w:lang w:val="en-GB"/>
        </w:rPr>
        <w:t>,</w:t>
      </w:r>
      <w:r w:rsidR="00025142" w:rsidRPr="000050B8">
        <w:rPr>
          <w:lang w:val="en-GB"/>
        </w:rPr>
        <w:t xml:space="preserve"> 2011, 2015</w:t>
      </w:r>
      <w:r w:rsidR="00257440" w:rsidRPr="000050B8">
        <w:rPr>
          <w:lang w:val="en-GB"/>
        </w:rPr>
        <w:t xml:space="preserve">; Solesvik </w:t>
      </w:r>
      <w:r w:rsidR="00113910">
        <w:rPr>
          <w:lang w:val="en-GB"/>
        </w:rPr>
        <w:t>&amp;</w:t>
      </w:r>
      <w:r w:rsidR="00113910" w:rsidRPr="000050B8">
        <w:rPr>
          <w:lang w:val="en-GB"/>
        </w:rPr>
        <w:t xml:space="preserve"> </w:t>
      </w:r>
      <w:r w:rsidR="00257440" w:rsidRPr="000050B8">
        <w:rPr>
          <w:lang w:val="en-GB"/>
        </w:rPr>
        <w:t>Gulbrandsen, 2014</w:t>
      </w:r>
      <w:r w:rsidR="00025142" w:rsidRPr="000050B8">
        <w:rPr>
          <w:lang w:val="en-GB"/>
        </w:rPr>
        <w:t>)</w:t>
      </w:r>
      <w:r w:rsidR="00B75F8F">
        <w:rPr>
          <w:lang w:val="en-GB"/>
        </w:rPr>
        <w:t>,</w:t>
      </w:r>
      <w:r w:rsidR="00025142" w:rsidRPr="000050B8">
        <w:rPr>
          <w:lang w:val="en-GB"/>
        </w:rPr>
        <w:t xml:space="preserve"> </w:t>
      </w:r>
      <w:r w:rsidR="00B75F8F">
        <w:rPr>
          <w:lang w:val="en-GB"/>
        </w:rPr>
        <w:t xml:space="preserve">which </w:t>
      </w:r>
      <w:r w:rsidR="00025142" w:rsidRPr="000050B8">
        <w:rPr>
          <w:lang w:val="en-GB"/>
        </w:rPr>
        <w:t xml:space="preserve">are much more innovative than </w:t>
      </w:r>
      <w:r w:rsidR="000A2187" w:rsidRPr="000050B8">
        <w:rPr>
          <w:lang w:val="en-GB"/>
        </w:rPr>
        <w:t>the size of its cities</w:t>
      </w:r>
      <w:r w:rsidR="00025142" w:rsidRPr="000050B8">
        <w:rPr>
          <w:lang w:val="en-GB"/>
        </w:rPr>
        <w:t xml:space="preserve"> would suggest. The roots of Norwegian innovation lie fundamentally </w:t>
      </w:r>
      <w:r w:rsidR="000A2187" w:rsidRPr="000050B8">
        <w:rPr>
          <w:lang w:val="en-GB"/>
        </w:rPr>
        <w:t xml:space="preserve">in </w:t>
      </w:r>
      <w:r w:rsidR="00025142" w:rsidRPr="000050B8">
        <w:rPr>
          <w:lang w:val="en-GB"/>
        </w:rPr>
        <w:t xml:space="preserve">the capacity of </w:t>
      </w:r>
      <w:r w:rsidR="00B75F8F">
        <w:rPr>
          <w:lang w:val="en-GB"/>
        </w:rPr>
        <w:t xml:space="preserve">its </w:t>
      </w:r>
      <w:r w:rsidR="00025142" w:rsidRPr="000050B8">
        <w:rPr>
          <w:lang w:val="en-GB"/>
        </w:rPr>
        <w:t xml:space="preserve">firms to overcome geographical </w:t>
      </w:r>
      <w:proofErr w:type="spellStart"/>
      <w:r w:rsidR="00025142" w:rsidRPr="000050B8">
        <w:rPr>
          <w:lang w:val="en-GB"/>
        </w:rPr>
        <w:t>peripherality</w:t>
      </w:r>
      <w:proofErr w:type="spellEnd"/>
      <w:r w:rsidR="00025142" w:rsidRPr="000050B8">
        <w:rPr>
          <w:lang w:val="en-GB"/>
        </w:rPr>
        <w:t xml:space="preserve"> and establish </w:t>
      </w:r>
      <w:r w:rsidR="007A6646">
        <w:rPr>
          <w:lang w:val="en-GB"/>
        </w:rPr>
        <w:t>long-distance</w:t>
      </w:r>
      <w:r w:rsidR="007A6646" w:rsidRPr="000050B8">
        <w:rPr>
          <w:lang w:val="en-GB"/>
        </w:rPr>
        <w:t xml:space="preserve"> </w:t>
      </w:r>
      <w:r w:rsidR="00025142" w:rsidRPr="000050B8">
        <w:rPr>
          <w:lang w:val="en-GB"/>
        </w:rPr>
        <w:t xml:space="preserve">partnerships with innovative firms, research </w:t>
      </w:r>
      <w:proofErr w:type="spellStart"/>
      <w:r w:rsidR="001551AF">
        <w:rPr>
          <w:lang w:val="en-GB"/>
        </w:rPr>
        <w:t>center</w:t>
      </w:r>
      <w:r w:rsidR="00025142" w:rsidRPr="000050B8">
        <w:rPr>
          <w:lang w:val="en-GB"/>
        </w:rPr>
        <w:t>s</w:t>
      </w:r>
      <w:proofErr w:type="spellEnd"/>
      <w:r w:rsidR="00025142" w:rsidRPr="000050B8">
        <w:rPr>
          <w:lang w:val="en-GB"/>
        </w:rPr>
        <w:t>, consultancies, and universities</w:t>
      </w:r>
      <w:r w:rsidR="00537D0D">
        <w:rPr>
          <w:lang w:val="en-GB"/>
        </w:rPr>
        <w:t>,</w:t>
      </w:r>
      <w:r w:rsidR="00025142" w:rsidRPr="000050B8">
        <w:rPr>
          <w:lang w:val="en-GB"/>
        </w:rPr>
        <w:t xml:space="preserve"> often located beyond </w:t>
      </w:r>
      <w:r w:rsidR="009230F6" w:rsidRPr="000050B8">
        <w:rPr>
          <w:lang w:val="en-GB"/>
        </w:rPr>
        <w:t xml:space="preserve">the </w:t>
      </w:r>
      <w:r w:rsidR="00025142" w:rsidRPr="000050B8">
        <w:rPr>
          <w:lang w:val="en-GB"/>
        </w:rPr>
        <w:t xml:space="preserve">national borders. Firms establishing international connections tend to be more innovative than those relying on domestic linkages (Fitjar </w:t>
      </w:r>
      <w:r w:rsidR="00113910">
        <w:rPr>
          <w:lang w:val="en-GB"/>
        </w:rPr>
        <w:t>&amp;</w:t>
      </w:r>
      <w:r w:rsidR="00113910" w:rsidRPr="000050B8">
        <w:rPr>
          <w:lang w:val="en-GB"/>
        </w:rPr>
        <w:t xml:space="preserve"> </w:t>
      </w:r>
      <w:r w:rsidR="00025142" w:rsidRPr="000050B8">
        <w:rPr>
          <w:lang w:val="en-GB"/>
        </w:rPr>
        <w:t>Rodríguez-Pose</w:t>
      </w:r>
      <w:r w:rsidR="00113910">
        <w:rPr>
          <w:lang w:val="en-GB"/>
        </w:rPr>
        <w:t>,</w:t>
      </w:r>
      <w:r w:rsidR="00025142" w:rsidRPr="000050B8">
        <w:rPr>
          <w:lang w:val="en-GB"/>
        </w:rPr>
        <w:t xml:space="preserve"> 2011: </w:t>
      </w:r>
      <w:r w:rsidR="00822143">
        <w:rPr>
          <w:lang w:val="en-GB"/>
        </w:rPr>
        <w:t xml:space="preserve">p. </w:t>
      </w:r>
      <w:r w:rsidR="00025142" w:rsidRPr="000050B8">
        <w:rPr>
          <w:lang w:val="en-GB"/>
        </w:rPr>
        <w:t xml:space="preserve">1264). Similar mechanisms to compensate for </w:t>
      </w:r>
      <w:proofErr w:type="spellStart"/>
      <w:r w:rsidR="00025142" w:rsidRPr="000050B8">
        <w:rPr>
          <w:lang w:val="en-GB"/>
        </w:rPr>
        <w:t>peripherality</w:t>
      </w:r>
      <w:proofErr w:type="spellEnd"/>
      <w:r w:rsidR="00025142" w:rsidRPr="000050B8">
        <w:rPr>
          <w:lang w:val="en-GB"/>
        </w:rPr>
        <w:t xml:space="preserve"> have been found in Sweden (Grillitsch </w:t>
      </w:r>
      <w:r w:rsidR="00113910">
        <w:rPr>
          <w:lang w:val="en-GB"/>
        </w:rPr>
        <w:t>&amp;</w:t>
      </w:r>
      <w:r w:rsidR="00113910" w:rsidRPr="000050B8">
        <w:rPr>
          <w:lang w:val="en-GB"/>
        </w:rPr>
        <w:t xml:space="preserve"> </w:t>
      </w:r>
      <w:r w:rsidR="00025142" w:rsidRPr="000050B8">
        <w:rPr>
          <w:lang w:val="en-GB"/>
        </w:rPr>
        <w:t>Nilsson</w:t>
      </w:r>
      <w:r w:rsidR="00113910">
        <w:rPr>
          <w:lang w:val="en-GB"/>
        </w:rPr>
        <w:t>,</w:t>
      </w:r>
      <w:r w:rsidR="00025142" w:rsidRPr="000050B8">
        <w:rPr>
          <w:lang w:val="en-GB"/>
        </w:rPr>
        <w:t xml:space="preserve"> 2015). Swedish firms in more remote environments </w:t>
      </w:r>
      <w:r w:rsidR="00B75F8F">
        <w:rPr>
          <w:lang w:val="en-GB"/>
        </w:rPr>
        <w:t>are more likely</w:t>
      </w:r>
      <w:r w:rsidR="00025142" w:rsidRPr="000050B8">
        <w:rPr>
          <w:lang w:val="en-GB"/>
        </w:rPr>
        <w:t xml:space="preserve"> </w:t>
      </w:r>
      <w:r w:rsidR="009C1D12" w:rsidRPr="000050B8">
        <w:rPr>
          <w:lang w:val="en-GB"/>
        </w:rPr>
        <w:t xml:space="preserve">than firms in large cities </w:t>
      </w:r>
      <w:r w:rsidR="00025142" w:rsidRPr="000050B8">
        <w:rPr>
          <w:lang w:val="en-GB"/>
        </w:rPr>
        <w:t xml:space="preserve">to establish networks – both national and international – outside their </w:t>
      </w:r>
      <w:r w:rsidR="000A2187" w:rsidRPr="000050B8">
        <w:rPr>
          <w:lang w:val="en-GB"/>
        </w:rPr>
        <w:t xml:space="preserve">local </w:t>
      </w:r>
      <w:r w:rsidR="00025142" w:rsidRPr="000050B8">
        <w:rPr>
          <w:lang w:val="en-GB"/>
        </w:rPr>
        <w:t>geographical area</w:t>
      </w:r>
      <w:r w:rsidR="009230F6" w:rsidRPr="000050B8">
        <w:rPr>
          <w:lang w:val="en-GB"/>
        </w:rPr>
        <w:t xml:space="preserve">. </w:t>
      </w:r>
      <w:r w:rsidR="00B75F8F">
        <w:rPr>
          <w:lang w:val="en-GB"/>
        </w:rPr>
        <w:t>S</w:t>
      </w:r>
      <w:r w:rsidR="000A2187" w:rsidRPr="000050B8">
        <w:rPr>
          <w:lang w:val="en-GB"/>
        </w:rPr>
        <w:t xml:space="preserve">imilar </w:t>
      </w:r>
      <w:r w:rsidR="00025142" w:rsidRPr="000050B8">
        <w:rPr>
          <w:lang w:val="en-GB"/>
        </w:rPr>
        <w:t xml:space="preserve">results have been reported </w:t>
      </w:r>
      <w:r w:rsidR="009230F6" w:rsidRPr="000050B8">
        <w:rPr>
          <w:lang w:val="en-GB"/>
        </w:rPr>
        <w:t>for</w:t>
      </w:r>
      <w:r w:rsidR="00025142" w:rsidRPr="000050B8">
        <w:rPr>
          <w:lang w:val="en-GB"/>
        </w:rPr>
        <w:t xml:space="preserve"> Canada (</w:t>
      </w:r>
      <w:proofErr w:type="spellStart"/>
      <w:r w:rsidR="00025142" w:rsidRPr="000050B8">
        <w:rPr>
          <w:lang w:val="en-GB"/>
        </w:rPr>
        <w:t>Doloreux</w:t>
      </w:r>
      <w:proofErr w:type="spellEnd"/>
      <w:r w:rsidR="00025142" w:rsidRPr="000050B8">
        <w:rPr>
          <w:lang w:val="en-GB"/>
        </w:rPr>
        <w:t xml:space="preserve">, 2003; </w:t>
      </w:r>
      <w:proofErr w:type="spellStart"/>
      <w:r w:rsidR="00025142" w:rsidRPr="000050B8">
        <w:rPr>
          <w:lang w:val="en-GB"/>
        </w:rPr>
        <w:t>Doloreux</w:t>
      </w:r>
      <w:proofErr w:type="spellEnd"/>
      <w:r w:rsidR="00025142" w:rsidRPr="000050B8">
        <w:rPr>
          <w:lang w:val="en-GB"/>
        </w:rPr>
        <w:t xml:space="preserve"> </w:t>
      </w:r>
      <w:r w:rsidR="00113910">
        <w:rPr>
          <w:lang w:val="en-GB"/>
        </w:rPr>
        <w:t>&amp;</w:t>
      </w:r>
      <w:r w:rsidR="00113910" w:rsidRPr="000050B8">
        <w:rPr>
          <w:lang w:val="en-GB"/>
        </w:rPr>
        <w:t xml:space="preserve"> </w:t>
      </w:r>
      <w:r w:rsidR="00025142" w:rsidRPr="000050B8">
        <w:rPr>
          <w:lang w:val="en-GB"/>
        </w:rPr>
        <w:t>Dionne, 2008)</w:t>
      </w:r>
      <w:r w:rsidR="00506AB5" w:rsidRPr="000050B8">
        <w:rPr>
          <w:lang w:val="en-GB"/>
        </w:rPr>
        <w:t>, Belgium (</w:t>
      </w:r>
      <w:proofErr w:type="spellStart"/>
      <w:r w:rsidR="00506AB5" w:rsidRPr="000050B8">
        <w:rPr>
          <w:lang w:val="en-GB"/>
        </w:rPr>
        <w:t>Teirlinck</w:t>
      </w:r>
      <w:proofErr w:type="spellEnd"/>
      <w:r w:rsidR="00506AB5" w:rsidRPr="000050B8">
        <w:rPr>
          <w:lang w:val="en-GB"/>
        </w:rPr>
        <w:t xml:space="preserve"> </w:t>
      </w:r>
      <w:r w:rsidR="00113910">
        <w:rPr>
          <w:lang w:val="en-GB"/>
        </w:rPr>
        <w:t>&amp;</w:t>
      </w:r>
      <w:r w:rsidR="00113910" w:rsidRPr="000050B8">
        <w:rPr>
          <w:lang w:val="en-GB"/>
        </w:rPr>
        <w:t xml:space="preserve"> </w:t>
      </w:r>
      <w:proofErr w:type="spellStart"/>
      <w:r w:rsidR="00506AB5" w:rsidRPr="000050B8">
        <w:rPr>
          <w:lang w:val="en-GB"/>
        </w:rPr>
        <w:t>Spithoven</w:t>
      </w:r>
      <w:proofErr w:type="spellEnd"/>
      <w:r w:rsidR="00506AB5" w:rsidRPr="000050B8">
        <w:rPr>
          <w:lang w:val="en-GB"/>
        </w:rPr>
        <w:t>, 2008)</w:t>
      </w:r>
      <w:r w:rsidR="002A35F3">
        <w:rPr>
          <w:lang w:val="en-GB"/>
        </w:rPr>
        <w:t>,</w:t>
      </w:r>
      <w:r w:rsidR="00025142" w:rsidRPr="000050B8">
        <w:rPr>
          <w:lang w:val="en-GB"/>
        </w:rPr>
        <w:t xml:space="preserve"> and Austria (</w:t>
      </w:r>
      <w:proofErr w:type="spellStart"/>
      <w:r w:rsidR="00025142" w:rsidRPr="000050B8">
        <w:rPr>
          <w:lang w:val="en-GB"/>
        </w:rPr>
        <w:t>Tödtling</w:t>
      </w:r>
      <w:proofErr w:type="spellEnd"/>
      <w:r w:rsidR="00025142" w:rsidRPr="000050B8">
        <w:rPr>
          <w:lang w:val="en-GB"/>
        </w:rPr>
        <w:t xml:space="preserve"> et al., 2012).</w:t>
      </w:r>
    </w:p>
    <w:p w14:paraId="3332A9B2" w14:textId="3CA34924" w:rsidR="00B841D5" w:rsidRPr="000050B8" w:rsidRDefault="00C7529F" w:rsidP="00C43B94">
      <w:pPr>
        <w:spacing w:line="480" w:lineRule="auto"/>
        <w:rPr>
          <w:lang w:val="en-GB"/>
        </w:rPr>
      </w:pPr>
      <w:r w:rsidRPr="000050B8">
        <w:rPr>
          <w:lang w:val="en-GB"/>
        </w:rPr>
        <w:t xml:space="preserve">Furthermore, </w:t>
      </w:r>
      <w:r w:rsidR="009F5ADE" w:rsidRPr="000050B8">
        <w:rPr>
          <w:lang w:val="en-GB"/>
        </w:rPr>
        <w:t xml:space="preserve">the partnerships </w:t>
      </w:r>
      <w:r w:rsidR="004C6680" w:rsidRPr="000050B8">
        <w:rPr>
          <w:lang w:val="en-GB"/>
        </w:rPr>
        <w:t>behind firm-level</w:t>
      </w:r>
      <w:r w:rsidR="009F5ADE" w:rsidRPr="000050B8">
        <w:rPr>
          <w:lang w:val="en-GB"/>
        </w:rPr>
        <w:t xml:space="preserve"> innovation are mostly purpose-built rather than the result of</w:t>
      </w:r>
      <w:r w:rsidR="00025142" w:rsidRPr="000050B8">
        <w:rPr>
          <w:lang w:val="en-GB"/>
        </w:rPr>
        <w:t xml:space="preserve"> </w:t>
      </w:r>
      <w:r w:rsidR="009F5ADE" w:rsidRPr="000050B8">
        <w:rPr>
          <w:lang w:val="en-GB"/>
        </w:rPr>
        <w:t>chance encounters</w:t>
      </w:r>
      <w:r w:rsidR="007A6646">
        <w:rPr>
          <w:lang w:val="en-GB"/>
        </w:rPr>
        <w:t>. Purpose-built partnerships are more often associated with</w:t>
      </w:r>
      <w:r w:rsidR="009F5ADE" w:rsidRPr="000050B8">
        <w:rPr>
          <w:lang w:val="en-GB"/>
        </w:rPr>
        <w:t xml:space="preserve"> long-distance collaboration</w:t>
      </w:r>
      <w:r w:rsidR="007C5C9D" w:rsidRPr="000050B8">
        <w:rPr>
          <w:lang w:val="en-GB"/>
        </w:rPr>
        <w:t>s</w:t>
      </w:r>
      <w:r w:rsidR="009F5ADE" w:rsidRPr="000050B8">
        <w:rPr>
          <w:lang w:val="en-GB"/>
        </w:rPr>
        <w:t xml:space="preserve"> (Fitjar </w:t>
      </w:r>
      <w:r w:rsidR="00113910">
        <w:rPr>
          <w:lang w:val="en-GB"/>
        </w:rPr>
        <w:t>&amp;</w:t>
      </w:r>
      <w:r w:rsidR="00113910" w:rsidRPr="000050B8">
        <w:rPr>
          <w:lang w:val="en-GB"/>
        </w:rPr>
        <w:t xml:space="preserve"> </w:t>
      </w:r>
      <w:r w:rsidR="009F5ADE" w:rsidRPr="000050B8">
        <w:rPr>
          <w:lang w:val="en-GB"/>
        </w:rPr>
        <w:t>Rodríguez-Pose</w:t>
      </w:r>
      <w:r w:rsidR="00113910">
        <w:rPr>
          <w:lang w:val="en-GB"/>
        </w:rPr>
        <w:t>,</w:t>
      </w:r>
      <w:r w:rsidR="009F5ADE" w:rsidRPr="000050B8">
        <w:rPr>
          <w:lang w:val="en-GB"/>
        </w:rPr>
        <w:t xml:space="preserve"> 201</w:t>
      </w:r>
      <w:r w:rsidR="00DE3725" w:rsidRPr="000050B8">
        <w:rPr>
          <w:lang w:val="en-GB"/>
        </w:rPr>
        <w:t>7</w:t>
      </w:r>
      <w:r w:rsidR="009F5ADE" w:rsidRPr="000050B8">
        <w:rPr>
          <w:lang w:val="en-GB"/>
        </w:rPr>
        <w:t>).</w:t>
      </w:r>
      <w:r w:rsidR="00B841D5" w:rsidRPr="000050B8">
        <w:rPr>
          <w:lang w:val="en-GB"/>
        </w:rPr>
        <w:t xml:space="preserve"> ‘</w:t>
      </w:r>
      <w:r w:rsidR="009230F6" w:rsidRPr="000050B8">
        <w:rPr>
          <w:lang w:val="en-GB"/>
        </w:rPr>
        <w:t>G</w:t>
      </w:r>
      <w:r w:rsidR="00B841D5" w:rsidRPr="000050B8">
        <w:rPr>
          <w:lang w:val="en-GB"/>
        </w:rPr>
        <w:t>lobal pipelines’ are relationships in which firms invest considerable time and effort</w:t>
      </w:r>
      <w:r w:rsidR="00A0369E" w:rsidRPr="000050B8">
        <w:rPr>
          <w:lang w:val="en-GB"/>
        </w:rPr>
        <w:t xml:space="preserve"> to interact with a partner from </w:t>
      </w:r>
      <w:r w:rsidR="00A0369E" w:rsidRPr="000050B8">
        <w:rPr>
          <w:lang w:val="en-GB"/>
        </w:rPr>
        <w:lastRenderedPageBreak/>
        <w:t xml:space="preserve">which it can gain </w:t>
      </w:r>
      <w:r w:rsidR="003B6FB7" w:rsidRPr="000050B8">
        <w:rPr>
          <w:lang w:val="en-GB"/>
        </w:rPr>
        <w:t xml:space="preserve">valuable and </w:t>
      </w:r>
      <w:r w:rsidR="008D49DE" w:rsidRPr="000050B8">
        <w:rPr>
          <w:lang w:val="en-GB"/>
        </w:rPr>
        <w:t>non-superfluous knowledge (Bathelt</w:t>
      </w:r>
      <w:r w:rsidR="00113910">
        <w:rPr>
          <w:lang w:val="en-GB"/>
        </w:rPr>
        <w:t>, Malmberg, &amp; Maskell,</w:t>
      </w:r>
      <w:r w:rsidR="008D49DE" w:rsidRPr="000050B8">
        <w:rPr>
          <w:lang w:val="en-GB"/>
        </w:rPr>
        <w:t xml:space="preserve"> 2004).</w:t>
      </w:r>
      <w:r w:rsidR="00040E08" w:rsidRPr="000050B8">
        <w:rPr>
          <w:lang w:val="en-GB"/>
        </w:rPr>
        <w:t xml:space="preserve"> This is a more costly strategy, but one </w:t>
      </w:r>
      <w:r w:rsidR="009230F6" w:rsidRPr="000050B8">
        <w:rPr>
          <w:lang w:val="en-GB"/>
        </w:rPr>
        <w:t xml:space="preserve">that </w:t>
      </w:r>
      <w:r w:rsidR="00FF67BD" w:rsidRPr="000050B8">
        <w:rPr>
          <w:lang w:val="en-GB"/>
        </w:rPr>
        <w:t xml:space="preserve">may carry greater rewards. </w:t>
      </w:r>
      <w:r w:rsidR="00040E08" w:rsidRPr="000050B8">
        <w:rPr>
          <w:lang w:val="en-GB"/>
        </w:rPr>
        <w:t xml:space="preserve">However, due to the costs </w:t>
      </w:r>
      <w:r w:rsidR="00B75F8F">
        <w:rPr>
          <w:lang w:val="en-GB"/>
        </w:rPr>
        <w:t>of</w:t>
      </w:r>
      <w:r w:rsidR="00040E08" w:rsidRPr="000050B8">
        <w:rPr>
          <w:lang w:val="en-GB"/>
        </w:rPr>
        <w:t xml:space="preserve"> long-distance knowledge search, </w:t>
      </w:r>
      <w:r w:rsidR="007C5C9D" w:rsidRPr="000050B8">
        <w:rPr>
          <w:lang w:val="en-GB"/>
        </w:rPr>
        <w:t xml:space="preserve">global pipelines may be more </w:t>
      </w:r>
      <w:r w:rsidR="00040E08" w:rsidRPr="000050B8">
        <w:rPr>
          <w:lang w:val="en-GB"/>
        </w:rPr>
        <w:t>viable for larger</w:t>
      </w:r>
      <w:r w:rsidR="007C5C9D" w:rsidRPr="000050B8">
        <w:rPr>
          <w:lang w:val="en-GB"/>
        </w:rPr>
        <w:t xml:space="preserve"> than for smaller</w:t>
      </w:r>
      <w:r w:rsidR="00040E08" w:rsidRPr="000050B8">
        <w:rPr>
          <w:lang w:val="en-GB"/>
        </w:rPr>
        <w:t xml:space="preserve"> firms (Ebersberger </w:t>
      </w:r>
      <w:r w:rsidR="00113910">
        <w:rPr>
          <w:lang w:val="en-GB"/>
        </w:rPr>
        <w:t>&amp;</w:t>
      </w:r>
      <w:r w:rsidR="00113910" w:rsidRPr="000050B8">
        <w:rPr>
          <w:lang w:val="en-GB"/>
        </w:rPr>
        <w:t xml:space="preserve"> </w:t>
      </w:r>
      <w:r w:rsidR="00040E08" w:rsidRPr="000050B8">
        <w:rPr>
          <w:lang w:val="en-GB"/>
        </w:rPr>
        <w:t>Herstad</w:t>
      </w:r>
      <w:r w:rsidR="00113910">
        <w:rPr>
          <w:lang w:val="en-GB"/>
        </w:rPr>
        <w:t>,</w:t>
      </w:r>
      <w:r w:rsidR="00040E08" w:rsidRPr="000050B8">
        <w:rPr>
          <w:lang w:val="en-GB"/>
        </w:rPr>
        <w:t xml:space="preserve"> 2013; Grillitsch </w:t>
      </w:r>
      <w:r w:rsidR="00113910">
        <w:rPr>
          <w:lang w:val="en-GB"/>
        </w:rPr>
        <w:t>&amp;</w:t>
      </w:r>
      <w:r w:rsidR="00113910" w:rsidRPr="000050B8">
        <w:rPr>
          <w:lang w:val="en-GB"/>
        </w:rPr>
        <w:t xml:space="preserve"> </w:t>
      </w:r>
      <w:r w:rsidR="00040E08" w:rsidRPr="000050B8">
        <w:rPr>
          <w:lang w:val="en-GB"/>
        </w:rPr>
        <w:t>Nilsson</w:t>
      </w:r>
      <w:r w:rsidR="00113910">
        <w:rPr>
          <w:lang w:val="en-GB"/>
        </w:rPr>
        <w:t>,</w:t>
      </w:r>
      <w:r w:rsidR="00040E08" w:rsidRPr="000050B8">
        <w:rPr>
          <w:lang w:val="en-GB"/>
        </w:rPr>
        <w:t xml:space="preserve"> 2015).</w:t>
      </w:r>
      <w:r w:rsidR="00FF67BD" w:rsidRPr="000050B8">
        <w:rPr>
          <w:lang w:val="en-GB"/>
        </w:rPr>
        <w:t xml:space="preserve"> </w:t>
      </w:r>
    </w:p>
    <w:p w14:paraId="2FD5F6B3" w14:textId="7F97FD4A" w:rsidR="00537D0D" w:rsidRDefault="00D91CAD" w:rsidP="00AD70E6">
      <w:pPr>
        <w:spacing w:line="480" w:lineRule="auto"/>
        <w:rPr>
          <w:lang w:val="en-GB"/>
        </w:rPr>
      </w:pPr>
      <w:r w:rsidRPr="000050B8">
        <w:rPr>
          <w:lang w:val="en-GB"/>
        </w:rPr>
        <w:t>T</w:t>
      </w:r>
      <w:r w:rsidR="00923BDF" w:rsidRPr="000050B8">
        <w:rPr>
          <w:lang w:val="en-GB"/>
        </w:rPr>
        <w:t>he jury is</w:t>
      </w:r>
      <w:r w:rsidR="00854C91" w:rsidRPr="000050B8">
        <w:rPr>
          <w:lang w:val="en-GB"/>
        </w:rPr>
        <w:t>, in any case,</w:t>
      </w:r>
      <w:r w:rsidR="00923BDF" w:rsidRPr="000050B8">
        <w:rPr>
          <w:lang w:val="en-GB"/>
        </w:rPr>
        <w:t xml:space="preserve"> still out on the mechanisms through which </w:t>
      </w:r>
      <w:r w:rsidR="00AF2BA9" w:rsidRPr="000050B8">
        <w:rPr>
          <w:lang w:val="en-GB"/>
        </w:rPr>
        <w:t xml:space="preserve">cities sustain learning processes conducive to innovation </w:t>
      </w:r>
      <w:r w:rsidR="00785716" w:rsidRPr="000050B8">
        <w:rPr>
          <w:lang w:val="en-GB"/>
        </w:rPr>
        <w:t>(Shearmur</w:t>
      </w:r>
      <w:r w:rsidR="00113910">
        <w:rPr>
          <w:lang w:val="en-GB"/>
        </w:rPr>
        <w:t>,</w:t>
      </w:r>
      <w:r w:rsidR="00785716" w:rsidRPr="000050B8">
        <w:rPr>
          <w:lang w:val="en-GB"/>
        </w:rPr>
        <w:t xml:space="preserve"> 2012)</w:t>
      </w:r>
      <w:r w:rsidR="00AF2BA9" w:rsidRPr="000050B8">
        <w:rPr>
          <w:lang w:val="en-GB"/>
        </w:rPr>
        <w:t xml:space="preserve">. </w:t>
      </w:r>
      <w:r w:rsidR="00BC7687" w:rsidRPr="000050B8">
        <w:rPr>
          <w:lang w:val="en-GB"/>
        </w:rPr>
        <w:t>While some highlight the importance of local collaboration, others suggest that long-distance collaboration may be more beneficial.</w:t>
      </w:r>
      <w:r w:rsidR="002B44BA" w:rsidRPr="000050B8">
        <w:rPr>
          <w:lang w:val="en-GB"/>
        </w:rPr>
        <w:t xml:space="preserve"> Some research also </w:t>
      </w:r>
      <w:r w:rsidR="007461C9" w:rsidRPr="000050B8">
        <w:rPr>
          <w:lang w:val="en-GB"/>
        </w:rPr>
        <w:t>stresses</w:t>
      </w:r>
      <w:r w:rsidR="002B44BA" w:rsidRPr="000050B8">
        <w:rPr>
          <w:lang w:val="en-GB"/>
        </w:rPr>
        <w:t xml:space="preserve"> that different types of innovation may require different</w:t>
      </w:r>
      <w:r w:rsidR="00D27E2B" w:rsidRPr="000050B8">
        <w:rPr>
          <w:lang w:val="en-GB"/>
        </w:rPr>
        <w:t xml:space="preserve"> geographical </w:t>
      </w:r>
      <w:r w:rsidR="002B44BA" w:rsidRPr="000050B8">
        <w:rPr>
          <w:lang w:val="en-GB"/>
        </w:rPr>
        <w:t>settings and d</w:t>
      </w:r>
      <w:r w:rsidR="007C5C9D" w:rsidRPr="000050B8">
        <w:rPr>
          <w:lang w:val="en-GB"/>
        </w:rPr>
        <w:t>ifferent types of collaboration</w:t>
      </w:r>
      <w:r w:rsidR="00D27E2B" w:rsidRPr="000050B8">
        <w:rPr>
          <w:lang w:val="en-GB"/>
        </w:rPr>
        <w:t xml:space="preserve"> (</w:t>
      </w:r>
      <w:proofErr w:type="spellStart"/>
      <w:r w:rsidR="007D540E" w:rsidRPr="000050B8">
        <w:rPr>
          <w:lang w:val="en-GB"/>
        </w:rPr>
        <w:t>Teirlinck</w:t>
      </w:r>
      <w:proofErr w:type="spellEnd"/>
      <w:r w:rsidR="007D540E" w:rsidRPr="000050B8">
        <w:rPr>
          <w:lang w:val="en-GB"/>
        </w:rPr>
        <w:t xml:space="preserve"> </w:t>
      </w:r>
      <w:r w:rsidR="00113910">
        <w:rPr>
          <w:lang w:val="en-GB"/>
        </w:rPr>
        <w:t>&amp;</w:t>
      </w:r>
      <w:r w:rsidR="00113910" w:rsidRPr="000050B8">
        <w:rPr>
          <w:lang w:val="en-GB"/>
        </w:rPr>
        <w:t xml:space="preserve"> </w:t>
      </w:r>
      <w:proofErr w:type="spellStart"/>
      <w:r w:rsidR="007D540E" w:rsidRPr="000050B8">
        <w:rPr>
          <w:lang w:val="en-GB"/>
        </w:rPr>
        <w:t>Spithoven</w:t>
      </w:r>
      <w:proofErr w:type="spellEnd"/>
      <w:r w:rsidR="007D540E" w:rsidRPr="000050B8">
        <w:rPr>
          <w:lang w:val="en-GB"/>
        </w:rPr>
        <w:t xml:space="preserve">, 2008; </w:t>
      </w:r>
      <w:proofErr w:type="spellStart"/>
      <w:r w:rsidR="00D27E2B" w:rsidRPr="000050B8">
        <w:rPr>
          <w:lang w:val="en-GB"/>
        </w:rPr>
        <w:t>Doloreux</w:t>
      </w:r>
      <w:proofErr w:type="spellEnd"/>
      <w:r w:rsidR="00D27E2B" w:rsidRPr="000050B8">
        <w:rPr>
          <w:lang w:val="en-GB"/>
        </w:rPr>
        <w:t xml:space="preserve"> </w:t>
      </w:r>
      <w:r w:rsidR="00113910">
        <w:rPr>
          <w:lang w:val="en-GB"/>
        </w:rPr>
        <w:t>&amp;</w:t>
      </w:r>
      <w:r w:rsidR="00113910" w:rsidRPr="000050B8">
        <w:rPr>
          <w:lang w:val="en-GB"/>
        </w:rPr>
        <w:t xml:space="preserve"> </w:t>
      </w:r>
      <w:r w:rsidR="00D27E2B" w:rsidRPr="000050B8">
        <w:rPr>
          <w:lang w:val="en-GB"/>
        </w:rPr>
        <w:t>Shearmur, 2012;</w:t>
      </w:r>
      <w:r w:rsidR="00096EBD" w:rsidRPr="000050B8">
        <w:rPr>
          <w:lang w:val="en-GB"/>
        </w:rPr>
        <w:t xml:space="preserve"> Lee </w:t>
      </w:r>
      <w:r w:rsidR="00113910">
        <w:rPr>
          <w:lang w:val="en-GB"/>
        </w:rPr>
        <w:t>&amp;</w:t>
      </w:r>
      <w:r w:rsidR="00113910" w:rsidRPr="000050B8">
        <w:rPr>
          <w:lang w:val="en-GB"/>
        </w:rPr>
        <w:t xml:space="preserve"> </w:t>
      </w:r>
      <w:r w:rsidR="00096EBD" w:rsidRPr="000050B8">
        <w:rPr>
          <w:lang w:val="en-GB"/>
        </w:rPr>
        <w:t>Rodríguez-Pose, 2013;</w:t>
      </w:r>
      <w:r w:rsidR="00D27E2B" w:rsidRPr="000050B8">
        <w:rPr>
          <w:lang w:val="en-GB"/>
        </w:rPr>
        <w:t xml:space="preserve"> Shearmur, 2015</w:t>
      </w:r>
      <w:r w:rsidR="00F66048">
        <w:rPr>
          <w:lang w:val="en-GB"/>
        </w:rPr>
        <w:t xml:space="preserve">; Eder, </w:t>
      </w:r>
      <w:r w:rsidR="00E34566">
        <w:rPr>
          <w:lang w:val="en-GB"/>
        </w:rPr>
        <w:t>2019</w:t>
      </w:r>
      <w:r w:rsidR="00D27E2B" w:rsidRPr="000050B8">
        <w:rPr>
          <w:lang w:val="en-GB"/>
        </w:rPr>
        <w:t>)</w:t>
      </w:r>
      <w:r w:rsidR="002B44BA" w:rsidRPr="000050B8">
        <w:rPr>
          <w:lang w:val="en-GB"/>
        </w:rPr>
        <w:t xml:space="preserve">. As indicated by </w:t>
      </w:r>
      <w:r w:rsidR="007461C9" w:rsidRPr="000050B8">
        <w:rPr>
          <w:lang w:val="en-GB"/>
        </w:rPr>
        <w:t xml:space="preserve">Fitjar and Rodríguez-Pose (2011) and </w:t>
      </w:r>
      <w:r w:rsidR="002B44BA" w:rsidRPr="000050B8">
        <w:rPr>
          <w:lang w:val="en-GB"/>
        </w:rPr>
        <w:t>Shearmur (2015), more radical innovation can happen anywhere, with firms relying either on their own internal capacities or on targeted, often long-distance, connections.</w:t>
      </w:r>
      <w:r w:rsidR="00C82412">
        <w:rPr>
          <w:lang w:val="en-GB"/>
        </w:rPr>
        <w:t xml:space="preserve"> Such linkages can be the source of innovations that set firms apart in their markets by providing new knowledge and ideas from outside</w:t>
      </w:r>
      <w:r w:rsidR="000E074B">
        <w:rPr>
          <w:lang w:val="en-GB"/>
        </w:rPr>
        <w:t xml:space="preserve"> the local market</w:t>
      </w:r>
      <w:r w:rsidR="00C82412">
        <w:rPr>
          <w:lang w:val="en-GB"/>
        </w:rPr>
        <w:t>.</w:t>
      </w:r>
      <w:r w:rsidR="007461C9" w:rsidRPr="000050B8">
        <w:rPr>
          <w:lang w:val="en-GB"/>
        </w:rPr>
        <w:t xml:space="preserve"> </w:t>
      </w:r>
      <w:r w:rsidR="002B44BA" w:rsidRPr="000050B8">
        <w:rPr>
          <w:lang w:val="en-GB"/>
        </w:rPr>
        <w:t>By contrast, the adoption and commercialisation of innovation</w:t>
      </w:r>
      <w:r w:rsidR="002B44BA" w:rsidRPr="00E63EA5">
        <w:rPr>
          <w:lang w:val="en-GB"/>
        </w:rPr>
        <w:t xml:space="preserve"> benefits more from local </w:t>
      </w:r>
      <w:proofErr w:type="spellStart"/>
      <w:r w:rsidR="001551AF">
        <w:rPr>
          <w:lang w:val="en-GB"/>
        </w:rPr>
        <w:t>labor</w:t>
      </w:r>
      <w:proofErr w:type="spellEnd"/>
      <w:r w:rsidR="002B44BA" w:rsidRPr="00E63EA5">
        <w:rPr>
          <w:lang w:val="en-GB"/>
        </w:rPr>
        <w:t xml:space="preserve">, finance and marketing expertise and, therefore, from local interaction, information exchange and feedback (Shearmur, 2015: </w:t>
      </w:r>
      <w:r w:rsidR="00822143">
        <w:rPr>
          <w:lang w:val="en-GB"/>
        </w:rPr>
        <w:t xml:space="preserve">p. </w:t>
      </w:r>
      <w:r w:rsidR="002B44BA" w:rsidRPr="00E63EA5">
        <w:rPr>
          <w:lang w:val="en-GB"/>
        </w:rPr>
        <w:t>428)</w:t>
      </w:r>
      <w:r w:rsidR="007461C9" w:rsidRPr="00E63EA5">
        <w:rPr>
          <w:lang w:val="en-GB"/>
        </w:rPr>
        <w:t>.</w:t>
      </w:r>
      <w:r w:rsidR="007008DC">
        <w:rPr>
          <w:lang w:val="en-GB"/>
        </w:rPr>
        <w:t xml:space="preserve"> In particular, changes within the firm, e.g. in process or organisational forms, m</w:t>
      </w:r>
      <w:r w:rsidR="00B120E4">
        <w:rPr>
          <w:lang w:val="en-GB"/>
        </w:rPr>
        <w:t>ay be more contingent on cultural context</w:t>
      </w:r>
      <w:r w:rsidR="007008DC">
        <w:rPr>
          <w:lang w:val="en-GB"/>
        </w:rPr>
        <w:t xml:space="preserve"> and therefore require a local approach.</w:t>
      </w:r>
      <w:r w:rsidR="007461C9" w:rsidRPr="00E63EA5">
        <w:rPr>
          <w:lang w:val="en-GB"/>
        </w:rPr>
        <w:t xml:space="preserve"> </w:t>
      </w:r>
      <w:r w:rsidR="007A6646">
        <w:rPr>
          <w:lang w:val="en-GB"/>
        </w:rPr>
        <w:t>In these cases</w:t>
      </w:r>
      <w:r w:rsidR="007461C9" w:rsidRPr="00E63EA5">
        <w:rPr>
          <w:lang w:val="en-GB"/>
        </w:rPr>
        <w:t xml:space="preserve">, </w:t>
      </w:r>
      <w:r w:rsidR="007461C9" w:rsidRPr="000050B8">
        <w:rPr>
          <w:lang w:val="en-GB"/>
        </w:rPr>
        <w:t xml:space="preserve">being located in </w:t>
      </w:r>
      <w:r w:rsidR="007461C9" w:rsidRPr="00E63EA5">
        <w:rPr>
          <w:lang w:val="en-GB"/>
        </w:rPr>
        <w:t>cities</w:t>
      </w:r>
      <w:r w:rsidR="007461C9" w:rsidRPr="000050B8">
        <w:rPr>
          <w:lang w:val="en-GB"/>
        </w:rPr>
        <w:t xml:space="preserve"> and clusters</w:t>
      </w:r>
      <w:r w:rsidR="00854C91" w:rsidRPr="000050B8">
        <w:rPr>
          <w:lang w:val="en-GB"/>
        </w:rPr>
        <w:t xml:space="preserve"> can</w:t>
      </w:r>
      <w:r w:rsidR="007461C9" w:rsidRPr="00E63EA5">
        <w:rPr>
          <w:lang w:val="en-GB"/>
        </w:rPr>
        <w:t xml:space="preserve"> facilitate </w:t>
      </w:r>
      <w:r w:rsidR="007461C9" w:rsidRPr="000050B8">
        <w:rPr>
          <w:lang w:val="en-GB"/>
        </w:rPr>
        <w:t>firm-level</w:t>
      </w:r>
      <w:r w:rsidR="007461C9" w:rsidRPr="00E63EA5">
        <w:rPr>
          <w:lang w:val="en-GB"/>
        </w:rPr>
        <w:t xml:space="preserve"> learning (Lee </w:t>
      </w:r>
      <w:r w:rsidR="00113910">
        <w:rPr>
          <w:lang w:val="en-GB"/>
        </w:rPr>
        <w:t>&amp;</w:t>
      </w:r>
      <w:r w:rsidR="00113910" w:rsidRPr="00E63EA5">
        <w:rPr>
          <w:lang w:val="en-GB"/>
        </w:rPr>
        <w:t xml:space="preserve"> </w:t>
      </w:r>
      <w:r w:rsidR="007461C9" w:rsidRPr="00E63EA5">
        <w:rPr>
          <w:lang w:val="en-GB"/>
        </w:rPr>
        <w:t xml:space="preserve">Rodríguez-Pose, 2013: </w:t>
      </w:r>
      <w:r w:rsidR="00822143">
        <w:rPr>
          <w:lang w:val="en-GB"/>
        </w:rPr>
        <w:t xml:space="preserve">p. </w:t>
      </w:r>
      <w:r w:rsidR="007461C9" w:rsidRPr="00E63EA5">
        <w:rPr>
          <w:lang w:val="en-GB"/>
        </w:rPr>
        <w:t>1756)</w:t>
      </w:r>
      <w:r w:rsidR="002B44BA" w:rsidRPr="00E63EA5">
        <w:rPr>
          <w:lang w:val="en-GB"/>
        </w:rPr>
        <w:t>.</w:t>
      </w:r>
      <w:r w:rsidR="00143563" w:rsidRPr="000050B8">
        <w:rPr>
          <w:lang w:val="en-GB"/>
        </w:rPr>
        <w:t xml:space="preserve"> </w:t>
      </w:r>
    </w:p>
    <w:p w14:paraId="6671BC24" w14:textId="04DD0C61" w:rsidR="00E820B2" w:rsidRPr="000050B8" w:rsidRDefault="00ED5C0F" w:rsidP="00AD70E6">
      <w:pPr>
        <w:spacing w:line="480" w:lineRule="auto"/>
        <w:rPr>
          <w:lang w:val="en-GB"/>
        </w:rPr>
      </w:pPr>
      <w:r>
        <w:rPr>
          <w:lang w:val="en-GB"/>
        </w:rPr>
        <w:t xml:space="preserve">Overall, this suggests that there is a need for more empirical research on the relationship between firms’ location in urban or rural regions, the spatial scales of their collaboration patterns, and different types of innovation outcomes. This paper makes several contributions to this debate. </w:t>
      </w:r>
      <w:r w:rsidR="0079030A">
        <w:rPr>
          <w:lang w:val="en-GB"/>
        </w:rPr>
        <w:t xml:space="preserve">First, previous studies have not </w:t>
      </w:r>
      <w:proofErr w:type="spellStart"/>
      <w:r w:rsidR="001551AF">
        <w:rPr>
          <w:lang w:val="en-GB"/>
        </w:rPr>
        <w:t>analyzed</w:t>
      </w:r>
      <w:proofErr w:type="spellEnd"/>
      <w:r w:rsidR="001551AF">
        <w:rPr>
          <w:lang w:val="en-GB"/>
        </w:rPr>
        <w:t xml:space="preserve"> </w:t>
      </w:r>
      <w:r w:rsidR="0079030A">
        <w:rPr>
          <w:lang w:val="en-GB"/>
        </w:rPr>
        <w:t>the interaction between local collaboration and urban location, and hence</w:t>
      </w:r>
      <w:r w:rsidR="002A35F3">
        <w:rPr>
          <w:lang w:val="en-GB"/>
        </w:rPr>
        <w:t xml:space="preserve"> the view that</w:t>
      </w:r>
      <w:r w:rsidR="0079030A">
        <w:rPr>
          <w:lang w:val="en-GB"/>
        </w:rPr>
        <w:t xml:space="preserve"> local collaboration is more </w:t>
      </w:r>
      <w:r w:rsidR="0079030A">
        <w:rPr>
          <w:lang w:val="en-GB"/>
        </w:rPr>
        <w:lastRenderedPageBreak/>
        <w:t>beneficial in urban contexts</w:t>
      </w:r>
      <w:r w:rsidR="002A35F3">
        <w:rPr>
          <w:lang w:val="en-GB"/>
        </w:rPr>
        <w:t xml:space="preserve"> remains essentially an assumption</w:t>
      </w:r>
      <w:r w:rsidR="0079030A">
        <w:rPr>
          <w:lang w:val="en-GB"/>
        </w:rPr>
        <w:t>. Second</w:t>
      </w:r>
      <w:r w:rsidR="00352394">
        <w:rPr>
          <w:lang w:val="en-GB"/>
        </w:rPr>
        <w:t>, using panel data from Norway allows for greater control of unobserved firm heterogeneity than the mostly cross-sectional</w:t>
      </w:r>
      <w:r w:rsidR="002A35F3">
        <w:rPr>
          <w:lang w:val="en-GB"/>
        </w:rPr>
        <w:t xml:space="preserve"> research that approached this question in the past. The richness of the dataset also permits us to dodge the problems</w:t>
      </w:r>
      <w:r w:rsidR="00352394">
        <w:rPr>
          <w:lang w:val="en-GB"/>
        </w:rPr>
        <w:t xml:space="preserve"> </w:t>
      </w:r>
      <w:r w:rsidR="002A35F3">
        <w:rPr>
          <w:lang w:val="en-GB"/>
        </w:rPr>
        <w:t>of</w:t>
      </w:r>
      <w:r w:rsidR="00352394">
        <w:rPr>
          <w:lang w:val="en-GB"/>
        </w:rPr>
        <w:t xml:space="preserve"> non-response bias. </w:t>
      </w:r>
      <w:r w:rsidR="0079030A">
        <w:rPr>
          <w:lang w:val="en-GB"/>
        </w:rPr>
        <w:t>Finally</w:t>
      </w:r>
      <w:r w:rsidR="00352394">
        <w:rPr>
          <w:lang w:val="en-GB"/>
        </w:rPr>
        <w:t xml:space="preserve">, the analysis examines several different innovation outcomes, enabling a more nuanced understanding of how collaboration and location may have different implications for different types of innovation. </w:t>
      </w:r>
    </w:p>
    <w:p w14:paraId="15606286" w14:textId="77777777" w:rsidR="001455FA" w:rsidRPr="000050B8" w:rsidRDefault="001455FA" w:rsidP="00C43B94">
      <w:pPr>
        <w:spacing w:line="480" w:lineRule="auto"/>
        <w:rPr>
          <w:lang w:val="en-GB"/>
        </w:rPr>
      </w:pPr>
    </w:p>
    <w:p w14:paraId="3372F7C2" w14:textId="5DE47D1D" w:rsidR="00642035" w:rsidRPr="00EB63F1" w:rsidRDefault="008A4F09" w:rsidP="00EB63F1">
      <w:pPr>
        <w:pStyle w:val="Heading2"/>
        <w:numPr>
          <w:ilvl w:val="0"/>
          <w:numId w:val="1"/>
        </w:numPr>
        <w:spacing w:line="480" w:lineRule="auto"/>
        <w:rPr>
          <w:caps/>
          <w:sz w:val="28"/>
          <w:lang w:val="en-GB"/>
        </w:rPr>
      </w:pPr>
      <w:r w:rsidRPr="00EB63F1">
        <w:rPr>
          <w:caps/>
          <w:sz w:val="28"/>
          <w:lang w:val="en-GB"/>
        </w:rPr>
        <w:t>Methods</w:t>
      </w:r>
      <w:r w:rsidR="00937856" w:rsidRPr="00EB63F1">
        <w:rPr>
          <w:caps/>
          <w:sz w:val="28"/>
          <w:lang w:val="en-GB"/>
        </w:rPr>
        <w:t xml:space="preserve"> and data</w:t>
      </w:r>
      <w:r w:rsidR="00EF530E" w:rsidRPr="00EB63F1">
        <w:rPr>
          <w:caps/>
          <w:sz w:val="28"/>
          <w:lang w:val="en-GB"/>
        </w:rPr>
        <w:t xml:space="preserve"> </w:t>
      </w:r>
    </w:p>
    <w:p w14:paraId="651F68A5" w14:textId="450E728F" w:rsidR="004B3AB5" w:rsidRPr="000050B8" w:rsidRDefault="00537D0D" w:rsidP="00C43B94">
      <w:pPr>
        <w:spacing w:line="480" w:lineRule="auto"/>
        <w:rPr>
          <w:lang w:val="en-GB"/>
        </w:rPr>
      </w:pPr>
      <w:r>
        <w:rPr>
          <w:lang w:val="en-GB"/>
        </w:rPr>
        <w:t>We use three waves of</w:t>
      </w:r>
      <w:r w:rsidR="00943AC6" w:rsidRPr="000050B8">
        <w:rPr>
          <w:lang w:val="en-GB"/>
        </w:rPr>
        <w:t xml:space="preserve"> the </w:t>
      </w:r>
      <w:r w:rsidR="009A4FF6" w:rsidRPr="000050B8">
        <w:rPr>
          <w:lang w:val="en-GB"/>
        </w:rPr>
        <w:t>Community In</w:t>
      </w:r>
      <w:r w:rsidR="00DE4DF8" w:rsidRPr="000050B8">
        <w:rPr>
          <w:lang w:val="en-GB"/>
        </w:rPr>
        <w:t>novation Survey (CIS)</w:t>
      </w:r>
      <w:r w:rsidR="00914D6A">
        <w:rPr>
          <w:lang w:val="en-GB"/>
        </w:rPr>
        <w:t xml:space="preserve"> for Norway</w:t>
      </w:r>
      <w:r w:rsidR="00B45DD3" w:rsidRPr="000050B8">
        <w:rPr>
          <w:lang w:val="en-GB"/>
        </w:rPr>
        <w:t xml:space="preserve"> </w:t>
      </w:r>
      <w:r w:rsidR="00DE4DF8" w:rsidRPr="000050B8">
        <w:rPr>
          <w:lang w:val="en-GB"/>
        </w:rPr>
        <w:t>to create an unbalanced panel</w:t>
      </w:r>
      <w:r w:rsidR="003E6F32" w:rsidRPr="000050B8">
        <w:rPr>
          <w:lang w:val="en-GB"/>
        </w:rPr>
        <w:t xml:space="preserve"> of firms</w:t>
      </w:r>
      <w:r w:rsidR="00E8487C">
        <w:rPr>
          <w:vertAlign w:val="superscript"/>
          <w:lang w:val="en-GB"/>
        </w:rPr>
        <w:t>1</w:t>
      </w:r>
      <w:r w:rsidR="004B3AB5">
        <w:rPr>
          <w:lang w:val="en-GB"/>
        </w:rPr>
        <w:t xml:space="preserve"> and match the firm-level data with</w:t>
      </w:r>
      <w:r w:rsidR="004B3AB5" w:rsidRPr="000050B8">
        <w:rPr>
          <w:lang w:val="en-GB"/>
        </w:rPr>
        <w:t xml:space="preserve"> Statistics Norway linked employer-employee data –</w:t>
      </w:r>
      <w:r w:rsidR="004B3AB5">
        <w:rPr>
          <w:lang w:val="en-GB"/>
        </w:rPr>
        <w:t xml:space="preserve"> </w:t>
      </w:r>
      <w:r w:rsidR="004B3AB5" w:rsidRPr="000050B8">
        <w:rPr>
          <w:lang w:val="en-GB"/>
        </w:rPr>
        <w:t xml:space="preserve">from official employment registers used for tax purposes and from official education registers. </w:t>
      </w:r>
      <w:r w:rsidR="004B3AB5">
        <w:rPr>
          <w:lang w:val="en-GB"/>
        </w:rPr>
        <w:t>This enables us to</w:t>
      </w:r>
      <w:r w:rsidR="004B3AB5" w:rsidRPr="000050B8">
        <w:rPr>
          <w:lang w:val="en-GB"/>
        </w:rPr>
        <w:t xml:space="preserve"> obtain detailed information on the composition </w:t>
      </w:r>
      <w:r w:rsidR="004B3AB5">
        <w:rPr>
          <w:lang w:val="en-GB"/>
        </w:rPr>
        <w:t>of each firm’s</w:t>
      </w:r>
      <w:r w:rsidR="004B3AB5" w:rsidRPr="000050B8">
        <w:rPr>
          <w:lang w:val="en-GB"/>
        </w:rPr>
        <w:t xml:space="preserve"> workforce.</w:t>
      </w:r>
    </w:p>
    <w:p w14:paraId="43101CE3" w14:textId="2D180675" w:rsidR="004B3AB5" w:rsidRPr="000050B8" w:rsidRDefault="004B3AB5" w:rsidP="00C43B94">
      <w:pPr>
        <w:spacing w:line="480" w:lineRule="auto"/>
        <w:rPr>
          <w:lang w:val="en-GB"/>
        </w:rPr>
      </w:pPr>
      <w:r w:rsidRPr="000050B8">
        <w:rPr>
          <w:lang w:val="en-GB"/>
        </w:rPr>
        <w:t xml:space="preserve">The Norwegian CIS offers, relative to most other innovation surveys, </w:t>
      </w:r>
      <w:r>
        <w:rPr>
          <w:lang w:val="en-GB"/>
        </w:rPr>
        <w:t>several</w:t>
      </w:r>
      <w:r w:rsidRPr="000050B8">
        <w:rPr>
          <w:lang w:val="en-GB"/>
        </w:rPr>
        <w:t xml:space="preserve"> benefits which are helpful in tackling </w:t>
      </w:r>
      <w:r>
        <w:rPr>
          <w:lang w:val="en-GB"/>
        </w:rPr>
        <w:t>our</w:t>
      </w:r>
      <w:r w:rsidRPr="000050B8">
        <w:rPr>
          <w:lang w:val="en-GB"/>
        </w:rPr>
        <w:t xml:space="preserve"> research questions. Firstly, </w:t>
      </w:r>
      <w:r>
        <w:rPr>
          <w:lang w:val="en-GB"/>
        </w:rPr>
        <w:t>it</w:t>
      </w:r>
      <w:r w:rsidRPr="000050B8">
        <w:rPr>
          <w:lang w:val="en-GB"/>
        </w:rPr>
        <w:t xml:space="preserve"> include</w:t>
      </w:r>
      <w:r>
        <w:rPr>
          <w:lang w:val="en-GB"/>
        </w:rPr>
        <w:t>s</w:t>
      </w:r>
      <w:r w:rsidRPr="000050B8">
        <w:rPr>
          <w:lang w:val="en-GB"/>
        </w:rPr>
        <w:t xml:space="preserve"> information on whether domestic partners are </w:t>
      </w:r>
      <w:r>
        <w:rPr>
          <w:lang w:val="en-GB"/>
        </w:rPr>
        <w:t>intra-regional or extra-regional</w:t>
      </w:r>
      <w:r w:rsidRPr="000050B8">
        <w:rPr>
          <w:lang w:val="en-GB"/>
        </w:rPr>
        <w:t xml:space="preserve">, </w:t>
      </w:r>
      <w:r>
        <w:rPr>
          <w:lang w:val="en-GB"/>
        </w:rPr>
        <w:t>permitting</w:t>
      </w:r>
      <w:r w:rsidRPr="000050B8">
        <w:rPr>
          <w:lang w:val="en-GB"/>
        </w:rPr>
        <w:t xml:space="preserve"> an analysis of local collaboration. </w:t>
      </w:r>
      <w:r>
        <w:rPr>
          <w:lang w:val="en-GB"/>
        </w:rPr>
        <w:t>T</w:t>
      </w:r>
      <w:r w:rsidRPr="000050B8">
        <w:rPr>
          <w:lang w:val="en-GB"/>
        </w:rPr>
        <w:t>he harmonised CIS</w:t>
      </w:r>
      <w:r>
        <w:rPr>
          <w:lang w:val="en-GB"/>
        </w:rPr>
        <w:t xml:space="preserve"> does not include this information</w:t>
      </w:r>
      <w:r w:rsidRPr="000050B8">
        <w:rPr>
          <w:lang w:val="en-GB"/>
        </w:rPr>
        <w:t>, although some other countries</w:t>
      </w:r>
      <w:r>
        <w:rPr>
          <w:lang w:val="en-GB"/>
        </w:rPr>
        <w:t xml:space="preserve"> do</w:t>
      </w:r>
      <w:r w:rsidRPr="000050B8">
        <w:rPr>
          <w:lang w:val="en-GB"/>
        </w:rPr>
        <w:t xml:space="preserve">. Secondly, </w:t>
      </w:r>
      <w:r>
        <w:rPr>
          <w:lang w:val="en-GB"/>
        </w:rPr>
        <w:t>it</w:t>
      </w:r>
      <w:r w:rsidRPr="000050B8">
        <w:rPr>
          <w:lang w:val="en-GB"/>
        </w:rPr>
        <w:t xml:space="preserve"> asks all firms about their collaboration partners in joint R&amp;D and other innovation activities, not just the innovative ones</w:t>
      </w:r>
      <w:r>
        <w:rPr>
          <w:lang w:val="en-GB"/>
        </w:rPr>
        <w:t>. This</w:t>
      </w:r>
      <w:r w:rsidRPr="000050B8">
        <w:rPr>
          <w:lang w:val="en-GB"/>
        </w:rPr>
        <w:t xml:space="preserve"> </w:t>
      </w:r>
      <w:r>
        <w:rPr>
          <w:lang w:val="en-GB"/>
        </w:rPr>
        <w:t>is essential for assessing</w:t>
      </w:r>
      <w:r w:rsidRPr="000050B8">
        <w:rPr>
          <w:lang w:val="en-GB"/>
        </w:rPr>
        <w:t xml:space="preserve"> the relationship between collaboration and innovation outcomes. Thirdly, unlike most other countries, participation </w:t>
      </w:r>
      <w:r>
        <w:rPr>
          <w:lang w:val="en-GB"/>
        </w:rPr>
        <w:t xml:space="preserve">is </w:t>
      </w:r>
      <w:r w:rsidRPr="000050B8">
        <w:rPr>
          <w:lang w:val="en-GB"/>
        </w:rPr>
        <w:t>mandatory for sampled firms</w:t>
      </w:r>
      <w:r>
        <w:rPr>
          <w:lang w:val="en-GB"/>
        </w:rPr>
        <w:t>. N</w:t>
      </w:r>
      <w:r w:rsidRPr="000050B8">
        <w:rPr>
          <w:lang w:val="en-GB"/>
        </w:rPr>
        <w:t>on-respondents</w:t>
      </w:r>
      <w:r>
        <w:rPr>
          <w:lang w:val="en-GB"/>
        </w:rPr>
        <w:t xml:space="preserve"> are fined</w:t>
      </w:r>
      <w:r w:rsidRPr="000050B8">
        <w:rPr>
          <w:lang w:val="en-GB"/>
        </w:rPr>
        <w:t>. This result</w:t>
      </w:r>
      <w:r>
        <w:rPr>
          <w:lang w:val="en-GB"/>
        </w:rPr>
        <w:t>s</w:t>
      </w:r>
      <w:r w:rsidRPr="000050B8">
        <w:rPr>
          <w:lang w:val="en-GB"/>
        </w:rPr>
        <w:t xml:space="preserve"> in a response rate of 94</w:t>
      </w:r>
      <w:r>
        <w:rPr>
          <w:lang w:val="en-GB"/>
        </w:rPr>
        <w:t>-97 percent</w:t>
      </w:r>
      <w:r w:rsidRPr="000050B8">
        <w:rPr>
          <w:lang w:val="en-GB"/>
        </w:rPr>
        <w:t xml:space="preserve"> of sampled firms, almost ruling out the risk of non-response bias. Fourthly, the sample is designed to be regionally representative at the level of economic regions.</w:t>
      </w:r>
    </w:p>
    <w:p w14:paraId="7FE7DE3C" w14:textId="7B827CE2" w:rsidR="004B3AB5" w:rsidRPr="000050B8" w:rsidRDefault="004B3AB5" w:rsidP="00C43B94">
      <w:pPr>
        <w:spacing w:line="480" w:lineRule="auto"/>
        <w:rPr>
          <w:lang w:val="en-GB"/>
        </w:rPr>
      </w:pPr>
      <w:r w:rsidRPr="000050B8">
        <w:rPr>
          <w:lang w:val="en-GB"/>
        </w:rPr>
        <w:lastRenderedPageBreak/>
        <w:t xml:space="preserve">The sample includes the full population of </w:t>
      </w:r>
      <w:r>
        <w:rPr>
          <w:lang w:val="en-GB"/>
        </w:rPr>
        <w:t>large</w:t>
      </w:r>
      <w:r w:rsidRPr="000050B8">
        <w:rPr>
          <w:lang w:val="en-GB"/>
        </w:rPr>
        <w:t xml:space="preserve"> firms </w:t>
      </w:r>
      <w:r>
        <w:rPr>
          <w:lang w:val="en-GB"/>
        </w:rPr>
        <w:t>and of R&amp;D intensive firms, as well as a sample of small firms.</w:t>
      </w:r>
      <w:r w:rsidR="00E8487C">
        <w:rPr>
          <w:vertAlign w:val="superscript"/>
          <w:lang w:val="en-GB"/>
        </w:rPr>
        <w:t>2</w:t>
      </w:r>
      <w:r>
        <w:rPr>
          <w:lang w:val="en-GB"/>
        </w:rPr>
        <w:t xml:space="preserve"> </w:t>
      </w:r>
      <w:r w:rsidRPr="000050B8">
        <w:rPr>
          <w:lang w:val="en-GB"/>
        </w:rPr>
        <w:t xml:space="preserve">The </w:t>
      </w:r>
      <w:r>
        <w:rPr>
          <w:lang w:val="en-GB"/>
        </w:rPr>
        <w:t>final</w:t>
      </w:r>
      <w:r w:rsidRPr="000050B8">
        <w:rPr>
          <w:lang w:val="en-GB"/>
        </w:rPr>
        <w:t xml:space="preserve"> sample contain</w:t>
      </w:r>
      <w:r>
        <w:rPr>
          <w:lang w:val="en-GB"/>
        </w:rPr>
        <w:t>s</w:t>
      </w:r>
      <w:r w:rsidRPr="000050B8">
        <w:rPr>
          <w:lang w:val="en-GB"/>
        </w:rPr>
        <w:t xml:space="preserve"> between 5980 and 6532 firms in the three waves considered in this paper</w:t>
      </w:r>
      <w:r>
        <w:rPr>
          <w:lang w:val="en-GB"/>
        </w:rPr>
        <w:t xml:space="preserve">: </w:t>
      </w:r>
      <w:r w:rsidRPr="000050B8">
        <w:rPr>
          <w:lang w:val="en-GB"/>
        </w:rPr>
        <w:t>18924 observations</w:t>
      </w:r>
      <w:r>
        <w:rPr>
          <w:lang w:val="en-GB"/>
        </w:rPr>
        <w:t xml:space="preserve"> in total</w:t>
      </w:r>
      <w:r w:rsidRPr="000050B8">
        <w:rPr>
          <w:lang w:val="en-GB"/>
        </w:rPr>
        <w:t>. These represent around a third of firms and two</w:t>
      </w:r>
      <w:r>
        <w:rPr>
          <w:lang w:val="en-GB"/>
        </w:rPr>
        <w:t>-</w:t>
      </w:r>
      <w:r w:rsidRPr="000050B8">
        <w:rPr>
          <w:lang w:val="en-GB"/>
        </w:rPr>
        <w:t xml:space="preserve">thirds of all employees in the overall population of Norwegian firms with more than 5 employees. </w:t>
      </w:r>
    </w:p>
    <w:p w14:paraId="2C1AF43E" w14:textId="749CF8BD" w:rsidR="004B3AB5" w:rsidRDefault="004B3AB5" w:rsidP="00C43B94">
      <w:pPr>
        <w:spacing w:line="480" w:lineRule="auto"/>
        <w:rPr>
          <w:lang w:val="en-GB"/>
        </w:rPr>
      </w:pPr>
      <w:r w:rsidRPr="000050B8">
        <w:rPr>
          <w:lang w:val="en-GB"/>
        </w:rPr>
        <w:t>The analysis comprises</w:t>
      </w:r>
      <w:r w:rsidRPr="000050B8" w:rsidDel="00E73F39">
        <w:rPr>
          <w:lang w:val="en-GB"/>
        </w:rPr>
        <w:t xml:space="preserve"> </w:t>
      </w:r>
      <w:r w:rsidRPr="000050B8">
        <w:rPr>
          <w:lang w:val="en-GB"/>
        </w:rPr>
        <w:t xml:space="preserve">firms which participated in two concurrent waves. The very high response rate and the inclusion of the full population of the largest firms mean that </w:t>
      </w:r>
      <w:r>
        <w:rPr>
          <w:lang w:val="en-GB"/>
        </w:rPr>
        <w:t>many</w:t>
      </w:r>
      <w:r w:rsidRPr="000050B8">
        <w:rPr>
          <w:lang w:val="en-GB"/>
        </w:rPr>
        <w:t xml:space="preserve"> firms </w:t>
      </w:r>
      <w:r>
        <w:rPr>
          <w:lang w:val="en-GB"/>
        </w:rPr>
        <w:t>are</w:t>
      </w:r>
      <w:r w:rsidRPr="000050B8">
        <w:rPr>
          <w:lang w:val="en-GB"/>
        </w:rPr>
        <w:t xml:space="preserve"> present in consecutive waves. Of course, this is more often the case for firms with more than 50 employees or smaller firms </w:t>
      </w:r>
      <w:r>
        <w:rPr>
          <w:lang w:val="en-GB"/>
        </w:rPr>
        <w:t>with</w:t>
      </w:r>
      <w:r w:rsidRPr="000050B8">
        <w:rPr>
          <w:lang w:val="en-GB"/>
        </w:rPr>
        <w:t xml:space="preserve"> R&amp;D activities, </w:t>
      </w:r>
      <w:r>
        <w:rPr>
          <w:lang w:val="en-GB"/>
        </w:rPr>
        <w:t>where</w:t>
      </w:r>
      <w:r w:rsidRPr="000050B8">
        <w:rPr>
          <w:lang w:val="en-GB"/>
        </w:rPr>
        <w:t xml:space="preserve"> the full population is included. However, around half of all firms in each survey also participate in the next wave. </w:t>
      </w:r>
      <w:r>
        <w:rPr>
          <w:lang w:val="en-GB"/>
        </w:rPr>
        <w:t>We can therefore</w:t>
      </w:r>
      <w:r w:rsidRPr="000050B8">
        <w:rPr>
          <w:lang w:val="en-GB"/>
        </w:rPr>
        <w:t xml:space="preserve"> exploit the longitudinal structure of the data to measure independent variables </w:t>
      </w:r>
      <w:r>
        <w:rPr>
          <w:lang w:val="en-GB"/>
        </w:rPr>
        <w:t>two years before</w:t>
      </w:r>
      <w:r w:rsidRPr="000050B8">
        <w:rPr>
          <w:lang w:val="en-GB"/>
        </w:rPr>
        <w:t xml:space="preserve"> dependent variables, allowing for better control of possible reverse causality. Consequently, </w:t>
      </w:r>
      <w:r>
        <w:rPr>
          <w:lang w:val="en-GB"/>
        </w:rPr>
        <w:t>independent</w:t>
      </w:r>
      <w:r w:rsidRPr="000050B8">
        <w:rPr>
          <w:lang w:val="en-GB"/>
        </w:rPr>
        <w:t xml:space="preserve"> variables and controls in 2006 are used to predict innovation levels in 2008, and independent variables and controls in 2008 to predict innovation in 2010. </w:t>
      </w:r>
      <w:r>
        <w:rPr>
          <w:lang w:val="en-GB"/>
        </w:rPr>
        <w:t xml:space="preserve">While this does not rule out the potential for endogeneity related to the effects of innovation on collaboration patterns or on firm location decisions, it does at least mean that the outcome is observed after the collaboration project or location decision. From Model 2, we also add a lagged dependent variable that further controls for past innovation. </w:t>
      </w:r>
      <w:r w:rsidRPr="000050B8">
        <w:rPr>
          <w:lang w:val="en-GB"/>
        </w:rPr>
        <w:t>The final data set consists of 638</w:t>
      </w:r>
      <w:r>
        <w:rPr>
          <w:lang w:val="en-GB"/>
        </w:rPr>
        <w:t>2</w:t>
      </w:r>
      <w:r w:rsidRPr="000050B8">
        <w:rPr>
          <w:lang w:val="en-GB"/>
        </w:rPr>
        <w:t xml:space="preserve"> observations. This includes 189</w:t>
      </w:r>
      <w:r>
        <w:rPr>
          <w:lang w:val="en-GB"/>
        </w:rPr>
        <w:t>3</w:t>
      </w:r>
      <w:r w:rsidRPr="000050B8">
        <w:rPr>
          <w:lang w:val="en-GB"/>
        </w:rPr>
        <w:t xml:space="preserve"> firms that were present throughout the period and were measured twice for independent as well as for dependent variables, and 259</w:t>
      </w:r>
      <w:r>
        <w:rPr>
          <w:lang w:val="en-GB"/>
        </w:rPr>
        <w:t>6</w:t>
      </w:r>
      <w:r w:rsidRPr="000050B8">
        <w:rPr>
          <w:lang w:val="en-GB"/>
        </w:rPr>
        <w:t xml:space="preserve"> firms that were only present in two consecutive surveys. Appendix Table A.1 shows descriptive statistics on the sample.</w:t>
      </w:r>
    </w:p>
    <w:p w14:paraId="54CE3EA8" w14:textId="77777777" w:rsidR="005E6822" w:rsidRPr="000050B8" w:rsidRDefault="005E6822" w:rsidP="00C43B94">
      <w:pPr>
        <w:spacing w:line="480" w:lineRule="auto"/>
        <w:rPr>
          <w:lang w:val="en-GB"/>
        </w:rPr>
      </w:pPr>
    </w:p>
    <w:p w14:paraId="7E8AC263" w14:textId="2CD43F63" w:rsidR="004B3AB5" w:rsidRPr="000050B8" w:rsidRDefault="007F7E20" w:rsidP="003D5FBD">
      <w:pPr>
        <w:keepNext/>
        <w:spacing w:line="480" w:lineRule="auto"/>
        <w:rPr>
          <w:b/>
          <w:lang w:val="en-GB"/>
        </w:rPr>
      </w:pPr>
      <w:r>
        <w:rPr>
          <w:b/>
          <w:lang w:val="en-GB"/>
        </w:rPr>
        <w:lastRenderedPageBreak/>
        <w:t xml:space="preserve">3.1 </w:t>
      </w:r>
      <w:r w:rsidR="004B3AB5" w:rsidRPr="000050B8">
        <w:rPr>
          <w:b/>
          <w:lang w:val="en-GB"/>
        </w:rPr>
        <w:t>Dependent variables</w:t>
      </w:r>
    </w:p>
    <w:p w14:paraId="16AB66BE" w14:textId="14BA20DF" w:rsidR="004B3AB5" w:rsidRPr="000050B8" w:rsidRDefault="004B3AB5" w:rsidP="00C43B94">
      <w:pPr>
        <w:spacing w:line="480" w:lineRule="auto"/>
        <w:rPr>
          <w:lang w:val="en-GB"/>
        </w:rPr>
      </w:pPr>
      <w:r w:rsidRPr="000050B8">
        <w:rPr>
          <w:lang w:val="en-GB"/>
        </w:rPr>
        <w:t>In line with the Oslo Manual, we define innovation as “the implementation of a new or significantly improved product (good or service), or process, a new marketing method, or a new organisational method in business practices, workplace organisation or external relations” (OECD and Eurostat 2005:46). Building on this definition, the CIS includes measures of four dimensions of innovation – product, process, organisational, and marketing –</w:t>
      </w:r>
      <w:r>
        <w:rPr>
          <w:lang w:val="en-GB"/>
        </w:rPr>
        <w:t xml:space="preserve"> </w:t>
      </w:r>
      <w:r w:rsidRPr="000050B8">
        <w:rPr>
          <w:lang w:val="en-GB"/>
        </w:rPr>
        <w:t xml:space="preserve">all used as dependent variables in the analysis. In addition, the product innovation dimension </w:t>
      </w:r>
      <w:r>
        <w:rPr>
          <w:lang w:val="en-GB"/>
        </w:rPr>
        <w:t>contains</w:t>
      </w:r>
      <w:r w:rsidRPr="000050B8">
        <w:rPr>
          <w:lang w:val="en-GB"/>
        </w:rPr>
        <w:t xml:space="preserve"> an indicator of the novelty of innovation – whether product innovations were new to the market – also considered in the analysis. The total number of dependent variables is thus five</w:t>
      </w:r>
      <w:r w:rsidR="00E8487C">
        <w:rPr>
          <w:lang w:val="en-GB"/>
        </w:rPr>
        <w:t>.</w:t>
      </w:r>
      <w:r w:rsidR="00E8487C">
        <w:rPr>
          <w:vertAlign w:val="superscript"/>
          <w:lang w:val="en-GB"/>
        </w:rPr>
        <w:t>3</w:t>
      </w:r>
      <w:r w:rsidRPr="000050B8">
        <w:rPr>
          <w:lang w:val="en-GB"/>
        </w:rPr>
        <w:t xml:space="preserve"> All </w:t>
      </w:r>
      <w:r>
        <w:rPr>
          <w:lang w:val="en-GB"/>
        </w:rPr>
        <w:t xml:space="preserve">innovation </w:t>
      </w:r>
      <w:r w:rsidRPr="000050B8">
        <w:rPr>
          <w:lang w:val="en-GB"/>
        </w:rPr>
        <w:t xml:space="preserve">measures are dichotomous variables with a value of 1 if the firm has introduced an innovation in the preceding three years (i.e. during 2004-06 for the 2006 survey) and 0 otherwise. Figure 1 shows the share of firms reporting innovation of each type in the three waves included in the analysis. </w:t>
      </w:r>
    </w:p>
    <w:p w14:paraId="19C3E868" w14:textId="77777777" w:rsidR="005E6822" w:rsidRPr="00471165" w:rsidRDefault="005E6822" w:rsidP="005E6822">
      <w:pPr>
        <w:keepNext/>
        <w:spacing w:line="480" w:lineRule="auto"/>
        <w:rPr>
          <w:b/>
          <w:lang w:val="en-GB"/>
        </w:rPr>
      </w:pPr>
      <w:r w:rsidRPr="00471165">
        <w:rPr>
          <w:b/>
          <w:lang w:val="en-GB"/>
        </w:rPr>
        <w:t>Figure 1: Share of firms reporting innovation by type of innovation and survey period</w:t>
      </w:r>
    </w:p>
    <w:p w14:paraId="0BB78F8A" w14:textId="77777777" w:rsidR="005E6822" w:rsidRPr="00471165" w:rsidRDefault="005E6822" w:rsidP="005E6822">
      <w:pPr>
        <w:spacing w:line="480" w:lineRule="auto"/>
        <w:rPr>
          <w:lang w:val="en-GB"/>
        </w:rPr>
      </w:pPr>
      <w:r w:rsidRPr="00815244">
        <w:rPr>
          <w:noProof/>
          <w:lang w:val="en-GB" w:eastAsia="en-GB"/>
        </w:rPr>
        <w:drawing>
          <wp:inline distT="0" distB="0" distL="0" distR="0" wp14:anchorId="511DD035" wp14:editId="7FC96D39">
            <wp:extent cx="5756910" cy="3082879"/>
            <wp:effectExtent l="0" t="0" r="0" b="0"/>
            <wp:docPr id="2"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8724FD" w14:textId="77777777" w:rsidR="004B3AB5" w:rsidRPr="000050B8" w:rsidRDefault="004B3AB5" w:rsidP="00C43B94">
      <w:pPr>
        <w:spacing w:line="480" w:lineRule="auto"/>
        <w:rPr>
          <w:lang w:val="en-GB"/>
        </w:rPr>
      </w:pPr>
    </w:p>
    <w:p w14:paraId="08CC1325" w14:textId="0A1D430B" w:rsidR="004B3AB5" w:rsidRPr="000050B8" w:rsidRDefault="004B3AB5" w:rsidP="00C43B94">
      <w:pPr>
        <w:spacing w:line="480" w:lineRule="auto"/>
        <w:rPr>
          <w:lang w:val="en-GB"/>
        </w:rPr>
      </w:pPr>
      <w:r w:rsidRPr="000050B8">
        <w:rPr>
          <w:i/>
          <w:lang w:val="en-GB"/>
        </w:rPr>
        <w:lastRenderedPageBreak/>
        <w:t>Product innovation</w:t>
      </w:r>
      <w:r w:rsidRPr="000050B8">
        <w:rPr>
          <w:lang w:val="en-GB"/>
        </w:rPr>
        <w:t xml:space="preserve"> is registered if the firm introduced new or significantly improved goods and/or services into the market. </w:t>
      </w:r>
      <w:r w:rsidRPr="000050B8">
        <w:rPr>
          <w:i/>
          <w:lang w:val="en-GB"/>
        </w:rPr>
        <w:t>New-to-market product innovation</w:t>
      </w:r>
      <w:r w:rsidRPr="000050B8">
        <w:rPr>
          <w:lang w:val="en-GB"/>
        </w:rPr>
        <w:t xml:space="preserve"> is a sub-category of the above, including only innovations that were new to the firm’s market and excluding innovations that were new to the firm, but which already existed in the market. </w:t>
      </w:r>
      <w:r w:rsidRPr="000050B8">
        <w:rPr>
          <w:i/>
          <w:lang w:val="en-GB"/>
        </w:rPr>
        <w:t>Process innovation</w:t>
      </w:r>
      <w:r w:rsidRPr="000050B8">
        <w:rPr>
          <w:lang w:val="en-GB"/>
        </w:rPr>
        <w:t xml:space="preserve"> refers to the introduction of new or significantly improved methods for production of goods or services; for storage, delivery, or distribution of goods or services; or new support functions, such as systems for maintenance, procurement, accounting, or IT. </w:t>
      </w:r>
      <w:r w:rsidRPr="000050B8">
        <w:rPr>
          <w:i/>
          <w:lang w:val="en-GB"/>
        </w:rPr>
        <w:t>Organisational innovation</w:t>
      </w:r>
      <w:r w:rsidRPr="000050B8">
        <w:rPr>
          <w:lang w:val="en-GB"/>
        </w:rPr>
        <w:t xml:space="preserve"> is the introduction of organisational changes, such as new business practices for organisation of work or procedures; new methods for organisation of work responsibilities or decision</w:t>
      </w:r>
      <w:r>
        <w:rPr>
          <w:lang w:val="en-GB"/>
        </w:rPr>
        <w:t>-making</w:t>
      </w:r>
      <w:r w:rsidRPr="000050B8">
        <w:rPr>
          <w:lang w:val="en-GB"/>
        </w:rPr>
        <w:t xml:space="preserve"> within the firm; or new methods for organising external relations to other firms or public institutions. </w:t>
      </w:r>
      <w:r w:rsidRPr="000050B8">
        <w:rPr>
          <w:i/>
          <w:lang w:val="en-GB"/>
        </w:rPr>
        <w:t>Marketing innovation</w:t>
      </w:r>
      <w:r w:rsidRPr="000050B8">
        <w:rPr>
          <w:lang w:val="en-GB"/>
        </w:rPr>
        <w:t xml:space="preserve"> refers to any significant changes in design or packaging of goods or services; the use of new media or methods for promoting products; the use of new methods for product placement or new sales channels; or the use of new methods for pricing goods or services. </w:t>
      </w:r>
    </w:p>
    <w:p w14:paraId="717C0CA6" w14:textId="1A3E023B" w:rsidR="004B3AB5" w:rsidRPr="000050B8" w:rsidRDefault="004B3AB5" w:rsidP="00C43B94">
      <w:pPr>
        <w:spacing w:line="480" w:lineRule="auto"/>
        <w:rPr>
          <w:b/>
          <w:lang w:val="en-GB"/>
        </w:rPr>
      </w:pPr>
    </w:p>
    <w:p w14:paraId="6150D967" w14:textId="1322FD03" w:rsidR="004B3AB5" w:rsidRPr="000050B8" w:rsidRDefault="007F7E20" w:rsidP="00C43B94">
      <w:pPr>
        <w:spacing w:line="480" w:lineRule="auto"/>
        <w:rPr>
          <w:b/>
          <w:lang w:val="en-GB"/>
        </w:rPr>
      </w:pPr>
      <w:r>
        <w:rPr>
          <w:b/>
          <w:lang w:val="en-GB"/>
        </w:rPr>
        <w:t xml:space="preserve">3.2 </w:t>
      </w:r>
      <w:r w:rsidR="004B3AB5" w:rsidRPr="000050B8">
        <w:rPr>
          <w:b/>
          <w:lang w:val="en-GB"/>
        </w:rPr>
        <w:t>Independent and control variables</w:t>
      </w:r>
    </w:p>
    <w:p w14:paraId="42FA80F8" w14:textId="620F1EFA" w:rsidR="004B3AB5" w:rsidRPr="000050B8" w:rsidRDefault="004B3AB5" w:rsidP="00C43B94">
      <w:pPr>
        <w:spacing w:line="480" w:lineRule="auto"/>
        <w:rPr>
          <w:lang w:val="en-GB"/>
        </w:rPr>
      </w:pPr>
      <w:r w:rsidRPr="000050B8">
        <w:rPr>
          <w:lang w:val="en-GB"/>
        </w:rPr>
        <w:t xml:space="preserve">There are two main independent variables in the analysis. Our first independent variable of interest – </w:t>
      </w:r>
      <w:r w:rsidRPr="00EB63F1">
        <w:rPr>
          <w:b/>
          <w:lang w:val="en-GB"/>
        </w:rPr>
        <w:t>partners</w:t>
      </w:r>
      <w:r w:rsidRPr="000050B8">
        <w:rPr>
          <w:i/>
          <w:lang w:val="en-GB"/>
        </w:rPr>
        <w:t xml:space="preserve"> </w:t>
      </w:r>
      <w:r w:rsidRPr="000050B8">
        <w:rPr>
          <w:lang w:val="en-GB"/>
        </w:rPr>
        <w:t>– measures the breadth of the firm’s collaboration with different types of external partners in innovation processes. The CIS asks about collaboration linkages</w:t>
      </w:r>
      <w:r w:rsidR="00E8487C">
        <w:rPr>
          <w:vertAlign w:val="superscript"/>
          <w:lang w:val="en-GB"/>
        </w:rPr>
        <w:t>4</w:t>
      </w:r>
      <w:r w:rsidRPr="000050B8">
        <w:rPr>
          <w:lang w:val="en-GB"/>
        </w:rPr>
        <w:t xml:space="preserve"> in the preceding three years with eight different types of external partners: within the enterprise/enterprise group, with suppliers, clients/customers, competitors, consultants/consultancy firms, commercial laboratories/R&amp;D enterprises, universities/higher education institutions, and public or private research institutes. For each partner used, the firm is further asked to identify the location of the partner. The index is a simple count of the number of different types </w:t>
      </w:r>
      <w:r>
        <w:rPr>
          <w:lang w:val="en-GB"/>
        </w:rPr>
        <w:t xml:space="preserve">of </w:t>
      </w:r>
      <w:r w:rsidRPr="000050B8">
        <w:rPr>
          <w:lang w:val="en-GB"/>
        </w:rPr>
        <w:t xml:space="preserve">partners used at each geographical scale, indicating the breadth </w:t>
      </w:r>
      <w:r w:rsidRPr="000050B8">
        <w:rPr>
          <w:lang w:val="en-GB"/>
        </w:rPr>
        <w:lastRenderedPageBreak/>
        <w:t xml:space="preserve">of the firm’s network at each scale. Three geographical scales are taken into account: </w:t>
      </w:r>
      <w:r w:rsidRPr="000050B8">
        <w:rPr>
          <w:i/>
          <w:lang w:val="en-GB"/>
        </w:rPr>
        <w:t>regional partners</w:t>
      </w:r>
      <w:r w:rsidRPr="000050B8">
        <w:rPr>
          <w:lang w:val="en-GB"/>
        </w:rPr>
        <w:t xml:space="preserve"> refers to the number of partner types used within the region; </w:t>
      </w:r>
      <w:r w:rsidRPr="000050B8">
        <w:rPr>
          <w:i/>
          <w:lang w:val="en-GB"/>
        </w:rPr>
        <w:t>national partners</w:t>
      </w:r>
      <w:r w:rsidRPr="000050B8">
        <w:rPr>
          <w:lang w:val="en-GB"/>
        </w:rPr>
        <w:t xml:space="preserve"> depicts the number of partner types located elsewhere in Norway; while </w:t>
      </w:r>
      <w:r w:rsidRPr="000050B8">
        <w:rPr>
          <w:i/>
          <w:lang w:val="en-GB"/>
        </w:rPr>
        <w:t>foreign partners</w:t>
      </w:r>
      <w:r w:rsidRPr="000050B8">
        <w:rPr>
          <w:lang w:val="en-GB"/>
        </w:rPr>
        <w:t xml:space="preserve"> is the number of partner types located outside Norway.</w:t>
      </w:r>
      <w:r>
        <w:rPr>
          <w:lang w:val="en-GB"/>
        </w:rPr>
        <w:t xml:space="preserve"> </w:t>
      </w:r>
      <w:r w:rsidRPr="000050B8">
        <w:rPr>
          <w:lang w:val="en-GB"/>
        </w:rPr>
        <w:t xml:space="preserve">Figure 2 shows the average number of partner types at each geographical scale in the three periods. </w:t>
      </w:r>
    </w:p>
    <w:p w14:paraId="1367355A" w14:textId="77777777" w:rsidR="005E6822" w:rsidRPr="00471165" w:rsidRDefault="005E6822" w:rsidP="005E6822">
      <w:pPr>
        <w:spacing w:line="480" w:lineRule="auto"/>
        <w:rPr>
          <w:b/>
          <w:lang w:val="en-GB"/>
        </w:rPr>
      </w:pPr>
      <w:r w:rsidRPr="00471165">
        <w:rPr>
          <w:b/>
          <w:lang w:val="en-GB"/>
        </w:rPr>
        <w:t>Figure 2: Average types of partners used at each geographical scale by survey period</w:t>
      </w:r>
    </w:p>
    <w:p w14:paraId="797680E7" w14:textId="77777777" w:rsidR="005E6822" w:rsidRPr="00471165" w:rsidRDefault="005E6822" w:rsidP="005E6822">
      <w:pPr>
        <w:spacing w:line="480" w:lineRule="auto"/>
        <w:rPr>
          <w:lang w:val="en-GB"/>
        </w:rPr>
      </w:pPr>
      <w:r w:rsidRPr="00815244">
        <w:rPr>
          <w:noProof/>
          <w:lang w:val="en-GB" w:eastAsia="en-GB"/>
        </w:rPr>
        <w:drawing>
          <wp:inline distT="0" distB="0" distL="0" distR="0" wp14:anchorId="66F7C175" wp14:editId="49C59C0A">
            <wp:extent cx="5756910" cy="3422564"/>
            <wp:effectExtent l="0" t="0" r="0" b="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FBA126" w14:textId="65CD27DA" w:rsidR="004B3AB5" w:rsidRDefault="004B3AB5" w:rsidP="00C43B94">
      <w:pPr>
        <w:spacing w:line="480" w:lineRule="auto"/>
        <w:rPr>
          <w:rFonts w:eastAsiaTheme="minorEastAsia"/>
          <w:szCs w:val="24"/>
          <w:lang w:val="en-GB"/>
        </w:rPr>
      </w:pPr>
      <w:r w:rsidRPr="000050B8">
        <w:rPr>
          <w:lang w:val="en-GB"/>
        </w:rPr>
        <w:t xml:space="preserve">The second variable of interest – </w:t>
      </w:r>
      <w:r w:rsidRPr="00EB63F1">
        <w:rPr>
          <w:b/>
          <w:lang w:val="en-GB"/>
        </w:rPr>
        <w:t>location</w:t>
      </w:r>
      <w:r w:rsidRPr="000050B8">
        <w:rPr>
          <w:i/>
          <w:lang w:val="en-GB"/>
        </w:rPr>
        <w:t xml:space="preserve"> </w:t>
      </w:r>
      <w:r w:rsidRPr="000050B8">
        <w:rPr>
          <w:lang w:val="en-GB"/>
        </w:rPr>
        <w:t>–</w:t>
      </w:r>
      <w:r w:rsidRPr="000050B8">
        <w:rPr>
          <w:i/>
          <w:lang w:val="en-GB"/>
        </w:rPr>
        <w:t xml:space="preserve"> </w:t>
      </w:r>
      <w:r w:rsidRPr="000050B8">
        <w:rPr>
          <w:lang w:val="en-GB"/>
        </w:rPr>
        <w:t xml:space="preserve">indicates the firm’s location in one of four types of regions: </w:t>
      </w:r>
      <w:r w:rsidRPr="000050B8">
        <w:rPr>
          <w:i/>
          <w:lang w:val="en-GB"/>
        </w:rPr>
        <w:t>Big city regions</w:t>
      </w:r>
      <w:r w:rsidRPr="000050B8">
        <w:rPr>
          <w:lang w:val="en-GB"/>
        </w:rPr>
        <w:t xml:space="preserve"> are regions with an urban </w:t>
      </w:r>
      <w:proofErr w:type="spellStart"/>
      <w:r>
        <w:rPr>
          <w:lang w:val="en-GB"/>
        </w:rPr>
        <w:t>center</w:t>
      </w:r>
      <w:proofErr w:type="spellEnd"/>
      <w:r w:rsidRPr="000050B8">
        <w:rPr>
          <w:lang w:val="en-GB"/>
        </w:rPr>
        <w:t xml:space="preserve"> which has a population of 500,000 or above and a high level of services. There is only one such region in Norway: the capital Oslo. </w:t>
      </w:r>
      <w:r w:rsidRPr="000050B8">
        <w:rPr>
          <w:i/>
          <w:lang w:val="en-GB"/>
        </w:rPr>
        <w:t>Medium city regions</w:t>
      </w:r>
      <w:r w:rsidRPr="000050B8">
        <w:rPr>
          <w:lang w:val="en-GB"/>
        </w:rPr>
        <w:t xml:space="preserve"> are regions with an urban </w:t>
      </w:r>
      <w:proofErr w:type="spellStart"/>
      <w:r>
        <w:rPr>
          <w:lang w:val="en-GB"/>
        </w:rPr>
        <w:t>center</w:t>
      </w:r>
      <w:proofErr w:type="spellEnd"/>
      <w:r w:rsidRPr="000050B8">
        <w:rPr>
          <w:lang w:val="en-GB"/>
        </w:rPr>
        <w:t xml:space="preserve"> which has a population of between 150,000 and 500,000 and a high level of services. Three Norwegian regions belong in this category: Bergen, Stavanger, and Trondheim. </w:t>
      </w:r>
      <w:r w:rsidRPr="000050B8">
        <w:rPr>
          <w:i/>
          <w:lang w:val="en-GB"/>
        </w:rPr>
        <w:t>Small city regions</w:t>
      </w:r>
      <w:r w:rsidRPr="000050B8">
        <w:rPr>
          <w:lang w:val="en-GB"/>
        </w:rPr>
        <w:t xml:space="preserve"> are regions with an urban </w:t>
      </w:r>
      <w:proofErr w:type="spellStart"/>
      <w:r>
        <w:rPr>
          <w:lang w:val="en-GB"/>
        </w:rPr>
        <w:t>center</w:t>
      </w:r>
      <w:proofErr w:type="spellEnd"/>
      <w:r w:rsidRPr="000050B8">
        <w:rPr>
          <w:lang w:val="en-GB"/>
        </w:rPr>
        <w:t xml:space="preserve"> with a population of between 19,000 and 150,000 and a medium or high level of services. This category includes a total of 16 regions: </w:t>
      </w:r>
      <w:proofErr w:type="spellStart"/>
      <w:r w:rsidRPr="000050B8">
        <w:rPr>
          <w:rFonts w:eastAsiaTheme="minorEastAsia"/>
          <w:szCs w:val="24"/>
          <w:lang w:val="en-GB"/>
        </w:rPr>
        <w:t>Fredrikstad</w:t>
      </w:r>
      <w:proofErr w:type="spellEnd"/>
      <w:r w:rsidRPr="000050B8">
        <w:rPr>
          <w:rFonts w:eastAsiaTheme="minorEastAsia"/>
          <w:szCs w:val="24"/>
          <w:lang w:val="en-GB"/>
        </w:rPr>
        <w:t xml:space="preserve">, Drammen, </w:t>
      </w:r>
      <w:proofErr w:type="spellStart"/>
      <w:r w:rsidRPr="000050B8">
        <w:rPr>
          <w:rFonts w:eastAsiaTheme="minorEastAsia"/>
          <w:szCs w:val="24"/>
          <w:lang w:val="en-GB"/>
        </w:rPr>
        <w:t>Tønsberg</w:t>
      </w:r>
      <w:proofErr w:type="spellEnd"/>
      <w:r w:rsidRPr="000050B8">
        <w:rPr>
          <w:rFonts w:eastAsiaTheme="minorEastAsia"/>
          <w:szCs w:val="24"/>
          <w:lang w:val="en-GB"/>
        </w:rPr>
        <w:t xml:space="preserve">, </w:t>
      </w:r>
      <w:proofErr w:type="spellStart"/>
      <w:r>
        <w:rPr>
          <w:rFonts w:eastAsiaTheme="minorEastAsia"/>
          <w:szCs w:val="24"/>
          <w:lang w:val="en-GB"/>
        </w:rPr>
        <w:lastRenderedPageBreak/>
        <w:t>Skien</w:t>
      </w:r>
      <w:proofErr w:type="spellEnd"/>
      <w:r w:rsidRPr="000050B8">
        <w:rPr>
          <w:rFonts w:eastAsiaTheme="minorEastAsia"/>
          <w:szCs w:val="24"/>
          <w:lang w:val="en-GB"/>
        </w:rPr>
        <w:t xml:space="preserve">, Kristiansand, </w:t>
      </w:r>
      <w:proofErr w:type="spellStart"/>
      <w:r w:rsidRPr="000050B8">
        <w:rPr>
          <w:rFonts w:eastAsiaTheme="minorEastAsia"/>
          <w:szCs w:val="24"/>
          <w:lang w:val="en-GB"/>
        </w:rPr>
        <w:t>Ålesund</w:t>
      </w:r>
      <w:proofErr w:type="spellEnd"/>
      <w:r w:rsidRPr="000050B8">
        <w:rPr>
          <w:rFonts w:eastAsiaTheme="minorEastAsia"/>
          <w:szCs w:val="24"/>
          <w:lang w:val="en-GB"/>
        </w:rPr>
        <w:t xml:space="preserve">, </w:t>
      </w:r>
      <w:proofErr w:type="spellStart"/>
      <w:r w:rsidRPr="000050B8">
        <w:rPr>
          <w:rFonts w:eastAsiaTheme="minorEastAsia"/>
          <w:szCs w:val="24"/>
          <w:lang w:val="en-GB"/>
        </w:rPr>
        <w:t>Bodø</w:t>
      </w:r>
      <w:proofErr w:type="spellEnd"/>
      <w:r w:rsidRPr="000050B8">
        <w:rPr>
          <w:rFonts w:eastAsiaTheme="minorEastAsia"/>
          <w:szCs w:val="24"/>
          <w:lang w:val="en-GB"/>
        </w:rPr>
        <w:t xml:space="preserve">, </w:t>
      </w:r>
      <w:proofErr w:type="spellStart"/>
      <w:r w:rsidRPr="000050B8">
        <w:rPr>
          <w:rFonts w:eastAsiaTheme="minorEastAsia"/>
          <w:szCs w:val="24"/>
          <w:lang w:val="en-GB"/>
        </w:rPr>
        <w:t>Tromsø</w:t>
      </w:r>
      <w:proofErr w:type="spellEnd"/>
      <w:r w:rsidRPr="000050B8">
        <w:rPr>
          <w:rFonts w:eastAsiaTheme="minorEastAsia"/>
          <w:szCs w:val="24"/>
          <w:lang w:val="en-GB"/>
        </w:rPr>
        <w:t xml:space="preserve">, Moss, </w:t>
      </w:r>
      <w:proofErr w:type="spellStart"/>
      <w:r w:rsidRPr="000050B8">
        <w:rPr>
          <w:rFonts w:eastAsiaTheme="minorEastAsia"/>
          <w:szCs w:val="24"/>
          <w:lang w:val="en-GB"/>
        </w:rPr>
        <w:t>Hamar</w:t>
      </w:r>
      <w:proofErr w:type="spellEnd"/>
      <w:r w:rsidRPr="000050B8">
        <w:rPr>
          <w:rFonts w:eastAsiaTheme="minorEastAsia"/>
          <w:szCs w:val="24"/>
          <w:lang w:val="en-GB"/>
        </w:rPr>
        <w:t xml:space="preserve">, Lillehammer, </w:t>
      </w:r>
      <w:proofErr w:type="spellStart"/>
      <w:r w:rsidRPr="000050B8">
        <w:rPr>
          <w:rFonts w:eastAsiaTheme="minorEastAsia"/>
          <w:szCs w:val="24"/>
          <w:lang w:val="en-GB"/>
        </w:rPr>
        <w:t>Gjøvik</w:t>
      </w:r>
      <w:proofErr w:type="spellEnd"/>
      <w:r w:rsidRPr="000050B8">
        <w:rPr>
          <w:rFonts w:eastAsiaTheme="minorEastAsia"/>
          <w:szCs w:val="24"/>
          <w:lang w:val="en-GB"/>
        </w:rPr>
        <w:t xml:space="preserve">, </w:t>
      </w:r>
      <w:proofErr w:type="spellStart"/>
      <w:r w:rsidRPr="000050B8">
        <w:rPr>
          <w:rFonts w:eastAsiaTheme="minorEastAsia"/>
          <w:szCs w:val="24"/>
          <w:lang w:val="en-GB"/>
        </w:rPr>
        <w:t>Sandefjord</w:t>
      </w:r>
      <w:proofErr w:type="spellEnd"/>
      <w:r w:rsidRPr="000050B8">
        <w:rPr>
          <w:rFonts w:eastAsiaTheme="minorEastAsia"/>
          <w:szCs w:val="24"/>
          <w:lang w:val="en-GB"/>
        </w:rPr>
        <w:t xml:space="preserve">, </w:t>
      </w:r>
      <w:proofErr w:type="spellStart"/>
      <w:r w:rsidRPr="000050B8">
        <w:rPr>
          <w:rFonts w:eastAsiaTheme="minorEastAsia"/>
          <w:szCs w:val="24"/>
          <w:lang w:val="en-GB"/>
        </w:rPr>
        <w:t>Arendal</w:t>
      </w:r>
      <w:proofErr w:type="spellEnd"/>
      <w:r w:rsidRPr="000050B8">
        <w:rPr>
          <w:rFonts w:eastAsiaTheme="minorEastAsia"/>
          <w:szCs w:val="24"/>
          <w:lang w:val="en-GB"/>
        </w:rPr>
        <w:t xml:space="preserve">, </w:t>
      </w:r>
      <w:proofErr w:type="spellStart"/>
      <w:r w:rsidRPr="000050B8">
        <w:rPr>
          <w:rFonts w:eastAsiaTheme="minorEastAsia"/>
          <w:szCs w:val="24"/>
          <w:lang w:val="en-GB"/>
        </w:rPr>
        <w:t>Haugesund</w:t>
      </w:r>
      <w:proofErr w:type="spellEnd"/>
      <w:r w:rsidRPr="000050B8">
        <w:rPr>
          <w:rFonts w:eastAsiaTheme="minorEastAsia"/>
          <w:szCs w:val="24"/>
          <w:lang w:val="en-GB"/>
        </w:rPr>
        <w:t xml:space="preserve">, and </w:t>
      </w:r>
      <w:proofErr w:type="spellStart"/>
      <w:r w:rsidRPr="000050B8">
        <w:rPr>
          <w:rFonts w:eastAsiaTheme="minorEastAsia"/>
          <w:szCs w:val="24"/>
          <w:lang w:val="en-GB"/>
        </w:rPr>
        <w:t>Molde</w:t>
      </w:r>
      <w:proofErr w:type="spellEnd"/>
      <w:r w:rsidRPr="000050B8">
        <w:rPr>
          <w:rFonts w:eastAsiaTheme="minorEastAsia"/>
          <w:szCs w:val="24"/>
          <w:lang w:val="en-GB"/>
        </w:rPr>
        <w:t xml:space="preserve">. </w:t>
      </w:r>
      <w:r>
        <w:rPr>
          <w:rFonts w:eastAsiaTheme="minorEastAsia"/>
          <w:szCs w:val="24"/>
          <w:lang w:val="en-GB"/>
        </w:rPr>
        <w:t xml:space="preserve">Figure 3 shows a map of the urban regions of Norway. </w:t>
      </w:r>
      <w:r w:rsidRPr="000050B8">
        <w:rPr>
          <w:rFonts w:eastAsiaTheme="minorEastAsia"/>
          <w:szCs w:val="24"/>
          <w:lang w:val="en-GB"/>
        </w:rPr>
        <w:t xml:space="preserve">Finally, </w:t>
      </w:r>
      <w:r>
        <w:rPr>
          <w:rFonts w:eastAsiaTheme="minorEastAsia"/>
          <w:i/>
          <w:szCs w:val="24"/>
          <w:lang w:val="en-GB"/>
        </w:rPr>
        <w:t>rural</w:t>
      </w:r>
      <w:r w:rsidRPr="000050B8">
        <w:rPr>
          <w:rFonts w:eastAsiaTheme="minorEastAsia"/>
          <w:i/>
          <w:szCs w:val="24"/>
          <w:lang w:val="en-GB"/>
        </w:rPr>
        <w:t xml:space="preserve"> regions</w:t>
      </w:r>
      <w:r w:rsidRPr="000050B8">
        <w:rPr>
          <w:rFonts w:eastAsiaTheme="minorEastAsia"/>
          <w:szCs w:val="24"/>
          <w:lang w:val="en-GB"/>
        </w:rPr>
        <w:t xml:space="preserve"> are regions without any urban </w:t>
      </w:r>
      <w:proofErr w:type="spellStart"/>
      <w:r>
        <w:rPr>
          <w:rFonts w:eastAsiaTheme="minorEastAsia"/>
          <w:szCs w:val="24"/>
          <w:lang w:val="en-GB"/>
        </w:rPr>
        <w:t>center</w:t>
      </w:r>
      <w:proofErr w:type="spellEnd"/>
      <w:r w:rsidRPr="000050B8">
        <w:rPr>
          <w:rFonts w:eastAsiaTheme="minorEastAsia"/>
          <w:szCs w:val="24"/>
          <w:lang w:val="en-GB"/>
        </w:rPr>
        <w:t xml:space="preserve"> or with an urban </w:t>
      </w:r>
      <w:proofErr w:type="spellStart"/>
      <w:r>
        <w:rPr>
          <w:rFonts w:eastAsiaTheme="minorEastAsia"/>
          <w:szCs w:val="24"/>
          <w:lang w:val="en-GB"/>
        </w:rPr>
        <w:t>center</w:t>
      </w:r>
      <w:proofErr w:type="spellEnd"/>
      <w:r w:rsidRPr="000050B8">
        <w:rPr>
          <w:rFonts w:eastAsiaTheme="minorEastAsia"/>
          <w:szCs w:val="24"/>
          <w:lang w:val="en-GB"/>
        </w:rPr>
        <w:t xml:space="preserve"> of less than 19,000 inhabitants or with a lower level of services. Firms located in </w:t>
      </w:r>
      <w:r>
        <w:rPr>
          <w:rFonts w:eastAsiaTheme="minorEastAsia"/>
          <w:szCs w:val="24"/>
          <w:lang w:val="en-GB"/>
        </w:rPr>
        <w:t>rural</w:t>
      </w:r>
      <w:r w:rsidRPr="000050B8">
        <w:rPr>
          <w:rFonts w:eastAsiaTheme="minorEastAsia"/>
          <w:szCs w:val="24"/>
          <w:lang w:val="en-GB"/>
        </w:rPr>
        <w:t xml:space="preserve"> regions are, according to the theories discussed, less likely to benefit from local agglomeration and density and therefore </w:t>
      </w:r>
      <w:r>
        <w:rPr>
          <w:rFonts w:eastAsiaTheme="minorEastAsia"/>
          <w:szCs w:val="24"/>
          <w:lang w:val="en-GB"/>
        </w:rPr>
        <w:t>have less</w:t>
      </w:r>
      <w:r w:rsidRPr="000050B8">
        <w:rPr>
          <w:rFonts w:eastAsiaTheme="minorEastAsia"/>
          <w:szCs w:val="24"/>
          <w:lang w:val="en-GB"/>
        </w:rPr>
        <w:t xml:space="preserve"> potential to innovate. </w:t>
      </w:r>
      <w:r>
        <w:rPr>
          <w:rFonts w:eastAsiaTheme="minorEastAsia"/>
          <w:szCs w:val="24"/>
          <w:lang w:val="en-GB"/>
        </w:rPr>
        <w:t>This is therefore</w:t>
      </w:r>
      <w:r w:rsidRPr="000050B8">
        <w:rPr>
          <w:rFonts w:eastAsiaTheme="minorEastAsia"/>
          <w:szCs w:val="24"/>
          <w:lang w:val="en-GB"/>
        </w:rPr>
        <w:t xml:space="preserve"> the baseline category </w:t>
      </w:r>
      <w:r>
        <w:rPr>
          <w:rFonts w:eastAsiaTheme="minorEastAsia"/>
          <w:szCs w:val="24"/>
          <w:lang w:val="en-GB"/>
        </w:rPr>
        <w:t xml:space="preserve">for comparison </w:t>
      </w:r>
      <w:r w:rsidRPr="000050B8">
        <w:rPr>
          <w:rFonts w:eastAsiaTheme="minorEastAsia"/>
          <w:szCs w:val="24"/>
          <w:lang w:val="en-GB"/>
        </w:rPr>
        <w:t xml:space="preserve">with other locations. Table 1 shows the definition of each location category and </w:t>
      </w:r>
      <w:r>
        <w:rPr>
          <w:rFonts w:eastAsiaTheme="minorEastAsia"/>
          <w:szCs w:val="24"/>
          <w:lang w:val="en-GB"/>
        </w:rPr>
        <w:t xml:space="preserve">the </w:t>
      </w:r>
      <w:r w:rsidRPr="000050B8">
        <w:rPr>
          <w:rFonts w:eastAsiaTheme="minorEastAsia"/>
          <w:szCs w:val="24"/>
          <w:lang w:val="en-GB"/>
        </w:rPr>
        <w:t xml:space="preserve">number of firms in each category in the three periods. The number of firms is relatively </w:t>
      </w:r>
      <w:r>
        <w:rPr>
          <w:rFonts w:eastAsiaTheme="minorEastAsia"/>
          <w:szCs w:val="24"/>
          <w:lang w:val="en-GB"/>
        </w:rPr>
        <w:t>similar</w:t>
      </w:r>
      <w:r w:rsidRPr="000050B8">
        <w:rPr>
          <w:rFonts w:eastAsiaTheme="minorEastAsia"/>
          <w:szCs w:val="24"/>
          <w:lang w:val="en-GB"/>
        </w:rPr>
        <w:t xml:space="preserve"> across geographical categories (Table 1).</w:t>
      </w:r>
    </w:p>
    <w:p w14:paraId="4F01C60F" w14:textId="063A3561" w:rsidR="005E6822" w:rsidRPr="000050B8" w:rsidRDefault="005E6822" w:rsidP="00C43B94">
      <w:pPr>
        <w:spacing w:line="480" w:lineRule="auto"/>
        <w:rPr>
          <w:rFonts w:eastAsiaTheme="minorEastAsia"/>
          <w:szCs w:val="24"/>
          <w:lang w:val="en-GB"/>
        </w:rPr>
      </w:pPr>
      <w:r w:rsidRPr="00471165">
        <w:rPr>
          <w:b/>
          <w:lang w:val="en-GB"/>
        </w:rPr>
        <w:t xml:space="preserve">Figure </w:t>
      </w:r>
      <w:r>
        <w:rPr>
          <w:b/>
          <w:lang w:val="en-GB"/>
        </w:rPr>
        <w:t>3</w:t>
      </w:r>
      <w:r w:rsidRPr="00471165">
        <w:rPr>
          <w:b/>
          <w:lang w:val="en-GB"/>
        </w:rPr>
        <w:t xml:space="preserve">: </w:t>
      </w:r>
      <w:r w:rsidRPr="005E6822">
        <w:rPr>
          <w:b/>
          <w:lang w:val="en-GB"/>
        </w:rPr>
        <w:t>Map of  the urban regions of Norway</w:t>
      </w:r>
    </w:p>
    <w:p w14:paraId="226E067B" w14:textId="16CCDCE5" w:rsidR="004B3AB5" w:rsidRPr="000050B8" w:rsidRDefault="005E6822" w:rsidP="005E6822">
      <w:pPr>
        <w:spacing w:line="480" w:lineRule="auto"/>
        <w:jc w:val="center"/>
        <w:rPr>
          <w:rFonts w:eastAsiaTheme="minorEastAsia"/>
          <w:szCs w:val="24"/>
          <w:lang w:val="en-GB"/>
        </w:rPr>
      </w:pPr>
      <w:r>
        <w:rPr>
          <w:rFonts w:eastAsiaTheme="minorEastAsia"/>
          <w:noProof/>
          <w:szCs w:val="24"/>
          <w:lang w:val="en-GB" w:eastAsia="en-GB"/>
        </w:rPr>
        <w:drawing>
          <wp:inline distT="0" distB="0" distL="0" distR="0" wp14:anchorId="4C42F370" wp14:editId="1011641C">
            <wp:extent cx="3625043" cy="504000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way cities.png"/>
                    <pic:cNvPicPr/>
                  </pic:nvPicPr>
                  <pic:blipFill>
                    <a:blip r:embed="rId13">
                      <a:extLst>
                        <a:ext uri="{28A0092B-C50C-407E-A947-70E740481C1C}">
                          <a14:useLocalDpi xmlns:a14="http://schemas.microsoft.com/office/drawing/2010/main" val="0"/>
                        </a:ext>
                      </a:extLst>
                    </a:blip>
                    <a:stretch>
                      <a:fillRect/>
                    </a:stretch>
                  </pic:blipFill>
                  <pic:spPr>
                    <a:xfrm>
                      <a:off x="0" y="0"/>
                      <a:ext cx="3625043" cy="5040000"/>
                    </a:xfrm>
                    <a:prstGeom prst="rect">
                      <a:avLst/>
                    </a:prstGeom>
                  </pic:spPr>
                </pic:pic>
              </a:graphicData>
            </a:graphic>
          </wp:inline>
        </w:drawing>
      </w:r>
    </w:p>
    <w:p w14:paraId="4C60983F" w14:textId="77777777" w:rsidR="005E6822" w:rsidRPr="00471165" w:rsidRDefault="005E6822" w:rsidP="005E6822">
      <w:pPr>
        <w:keepNext/>
        <w:spacing w:line="240" w:lineRule="auto"/>
        <w:rPr>
          <w:b/>
          <w:lang w:val="en-GB"/>
        </w:rPr>
      </w:pPr>
      <w:r w:rsidRPr="00EB63F1">
        <w:rPr>
          <w:b/>
          <w:caps/>
          <w:lang w:val="en-GB"/>
        </w:rPr>
        <w:lastRenderedPageBreak/>
        <w:t>Table</w:t>
      </w:r>
      <w:r w:rsidRPr="00471165">
        <w:rPr>
          <w:b/>
          <w:lang w:val="en-GB"/>
        </w:rPr>
        <w:t xml:space="preserve"> 1: Location of firms and number of observations</w:t>
      </w:r>
    </w:p>
    <w:tbl>
      <w:tblPr>
        <w:tblW w:w="5000" w:type="pct"/>
        <w:tblLayout w:type="fixed"/>
        <w:tblCellMar>
          <w:left w:w="0" w:type="dxa"/>
          <w:right w:w="0" w:type="dxa"/>
        </w:tblCellMar>
        <w:tblLook w:val="0420" w:firstRow="1" w:lastRow="0" w:firstColumn="0" w:lastColumn="0" w:noHBand="0" w:noVBand="1"/>
      </w:tblPr>
      <w:tblGrid>
        <w:gridCol w:w="1169"/>
        <w:gridCol w:w="2189"/>
        <w:gridCol w:w="3450"/>
        <w:gridCol w:w="849"/>
        <w:gridCol w:w="851"/>
        <w:gridCol w:w="846"/>
      </w:tblGrid>
      <w:tr w:rsidR="005E6822" w:rsidRPr="00471165" w14:paraId="2AD1EEC9" w14:textId="77777777" w:rsidTr="005E6822">
        <w:trPr>
          <w:trHeight w:val="584"/>
        </w:trPr>
        <w:tc>
          <w:tcPr>
            <w:tcW w:w="625" w:type="pct"/>
            <w:tcBorders>
              <w:top w:val="single" w:sz="8" w:space="0" w:color="auto"/>
              <w:left w:val="nil"/>
              <w:bottom w:val="nil"/>
              <w:right w:val="nil"/>
            </w:tcBorders>
            <w:shd w:val="clear" w:color="auto" w:fill="auto"/>
            <w:tcMar>
              <w:top w:w="72" w:type="dxa"/>
              <w:left w:w="144" w:type="dxa"/>
              <w:bottom w:w="72" w:type="dxa"/>
              <w:right w:w="144" w:type="dxa"/>
            </w:tcMar>
            <w:hideMark/>
          </w:tcPr>
          <w:p w14:paraId="30BD7B16" w14:textId="77777777" w:rsidR="005E6822" w:rsidRPr="00471165" w:rsidRDefault="005E6822" w:rsidP="005E6822">
            <w:pPr>
              <w:keepNext/>
              <w:spacing w:line="240" w:lineRule="auto"/>
              <w:rPr>
                <w:rFonts w:ascii="Arial" w:eastAsiaTheme="minorEastAsia" w:hAnsi="Arial"/>
                <w:b/>
                <w:szCs w:val="24"/>
                <w:lang w:val="en-GB"/>
              </w:rPr>
            </w:pPr>
            <w:r w:rsidRPr="00471165">
              <w:rPr>
                <w:rFonts w:eastAsiaTheme="minorEastAsia"/>
                <w:b/>
                <w:szCs w:val="24"/>
                <w:lang w:val="en-GB"/>
              </w:rPr>
              <w:t>Type</w:t>
            </w:r>
          </w:p>
        </w:tc>
        <w:tc>
          <w:tcPr>
            <w:tcW w:w="1170" w:type="pct"/>
            <w:tcBorders>
              <w:top w:val="single" w:sz="8" w:space="0" w:color="auto"/>
              <w:left w:val="nil"/>
              <w:bottom w:val="nil"/>
              <w:right w:val="nil"/>
            </w:tcBorders>
            <w:shd w:val="clear" w:color="auto" w:fill="auto"/>
            <w:tcMar>
              <w:top w:w="72" w:type="dxa"/>
              <w:left w:w="144" w:type="dxa"/>
              <w:bottom w:w="72" w:type="dxa"/>
              <w:right w:w="144" w:type="dxa"/>
            </w:tcMar>
            <w:hideMark/>
          </w:tcPr>
          <w:p w14:paraId="7027B86E" w14:textId="77777777" w:rsidR="005E6822" w:rsidRPr="00471165" w:rsidRDefault="005E6822" w:rsidP="005E6822">
            <w:pPr>
              <w:keepNext/>
              <w:spacing w:line="240" w:lineRule="auto"/>
              <w:rPr>
                <w:rFonts w:ascii="Arial" w:eastAsiaTheme="minorEastAsia" w:hAnsi="Arial"/>
                <w:b/>
                <w:szCs w:val="24"/>
                <w:lang w:val="en-GB"/>
              </w:rPr>
            </w:pPr>
            <w:r w:rsidRPr="00471165">
              <w:rPr>
                <w:rFonts w:eastAsiaTheme="minorEastAsia"/>
                <w:b/>
                <w:szCs w:val="24"/>
                <w:lang w:val="en-GB"/>
              </w:rPr>
              <w:t>Definition</w:t>
            </w:r>
          </w:p>
        </w:tc>
        <w:tc>
          <w:tcPr>
            <w:tcW w:w="1844" w:type="pct"/>
            <w:tcBorders>
              <w:top w:val="single" w:sz="8" w:space="0" w:color="auto"/>
              <w:left w:val="nil"/>
              <w:bottom w:val="nil"/>
              <w:right w:val="nil"/>
            </w:tcBorders>
            <w:shd w:val="clear" w:color="auto" w:fill="auto"/>
            <w:tcMar>
              <w:top w:w="72" w:type="dxa"/>
              <w:left w:w="144" w:type="dxa"/>
              <w:bottom w:w="72" w:type="dxa"/>
              <w:right w:w="144" w:type="dxa"/>
            </w:tcMar>
            <w:hideMark/>
          </w:tcPr>
          <w:p w14:paraId="3EDB5211" w14:textId="77777777" w:rsidR="005E6822" w:rsidRPr="00471165" w:rsidRDefault="005E6822" w:rsidP="005E6822">
            <w:pPr>
              <w:keepNext/>
              <w:spacing w:line="240" w:lineRule="auto"/>
              <w:rPr>
                <w:rFonts w:ascii="Arial" w:eastAsiaTheme="minorEastAsia" w:hAnsi="Arial"/>
                <w:b/>
                <w:szCs w:val="24"/>
                <w:lang w:val="en-GB"/>
              </w:rPr>
            </w:pPr>
            <w:r w:rsidRPr="00471165">
              <w:rPr>
                <w:rFonts w:eastAsiaTheme="minorEastAsia"/>
                <w:b/>
                <w:szCs w:val="24"/>
                <w:lang w:val="en-GB"/>
              </w:rPr>
              <w:t>Regions</w:t>
            </w:r>
          </w:p>
        </w:tc>
        <w:tc>
          <w:tcPr>
            <w:tcW w:w="1361" w:type="pct"/>
            <w:gridSpan w:val="3"/>
            <w:tcBorders>
              <w:top w:val="single" w:sz="8" w:space="0" w:color="auto"/>
              <w:left w:val="nil"/>
              <w:bottom w:val="nil"/>
              <w:right w:val="nil"/>
            </w:tcBorders>
            <w:shd w:val="clear" w:color="auto" w:fill="auto"/>
            <w:tcMar>
              <w:top w:w="72" w:type="dxa"/>
              <w:left w:w="144" w:type="dxa"/>
              <w:bottom w:w="72" w:type="dxa"/>
              <w:right w:w="144" w:type="dxa"/>
            </w:tcMar>
            <w:hideMark/>
          </w:tcPr>
          <w:p w14:paraId="7EE8249F" w14:textId="77777777" w:rsidR="005E6822" w:rsidRPr="00471165" w:rsidRDefault="005E6822" w:rsidP="005E6822">
            <w:pPr>
              <w:keepNext/>
              <w:spacing w:line="240" w:lineRule="auto"/>
              <w:rPr>
                <w:rFonts w:ascii="Arial" w:eastAsiaTheme="minorEastAsia" w:hAnsi="Arial"/>
                <w:b/>
                <w:szCs w:val="24"/>
                <w:lang w:val="en-GB"/>
              </w:rPr>
            </w:pPr>
            <w:r w:rsidRPr="00471165">
              <w:rPr>
                <w:rFonts w:eastAsiaTheme="minorEastAsia"/>
                <w:b/>
                <w:szCs w:val="24"/>
                <w:lang w:val="en-GB"/>
              </w:rPr>
              <w:t>Sampled firms</w:t>
            </w:r>
          </w:p>
        </w:tc>
      </w:tr>
      <w:tr w:rsidR="005E6822" w:rsidRPr="00471165" w14:paraId="52F965FA" w14:textId="77777777" w:rsidTr="005E6822">
        <w:trPr>
          <w:trHeight w:val="584"/>
        </w:trPr>
        <w:tc>
          <w:tcPr>
            <w:tcW w:w="625" w:type="pct"/>
            <w:tcBorders>
              <w:top w:val="nil"/>
              <w:left w:val="nil"/>
              <w:bottom w:val="single" w:sz="8" w:space="0" w:color="auto"/>
              <w:right w:val="nil"/>
            </w:tcBorders>
            <w:shd w:val="clear" w:color="auto" w:fill="auto"/>
            <w:tcMar>
              <w:top w:w="72" w:type="dxa"/>
              <w:left w:w="144" w:type="dxa"/>
              <w:bottom w:w="72" w:type="dxa"/>
              <w:right w:w="144" w:type="dxa"/>
            </w:tcMar>
            <w:hideMark/>
          </w:tcPr>
          <w:p w14:paraId="52C254C8" w14:textId="77777777" w:rsidR="005E6822" w:rsidRPr="00471165" w:rsidRDefault="005E6822" w:rsidP="005E6822">
            <w:pPr>
              <w:keepNext/>
              <w:spacing w:line="240" w:lineRule="auto"/>
              <w:rPr>
                <w:rFonts w:ascii="Arial" w:hAnsi="Arial"/>
                <w:szCs w:val="24"/>
                <w:lang w:val="en-GB"/>
              </w:rPr>
            </w:pPr>
          </w:p>
        </w:tc>
        <w:tc>
          <w:tcPr>
            <w:tcW w:w="1170" w:type="pct"/>
            <w:tcBorders>
              <w:top w:val="nil"/>
              <w:left w:val="nil"/>
              <w:bottom w:val="single" w:sz="8" w:space="0" w:color="auto"/>
              <w:right w:val="nil"/>
            </w:tcBorders>
            <w:shd w:val="clear" w:color="auto" w:fill="auto"/>
            <w:tcMar>
              <w:top w:w="72" w:type="dxa"/>
              <w:left w:w="144" w:type="dxa"/>
              <w:bottom w:w="72" w:type="dxa"/>
              <w:right w:w="144" w:type="dxa"/>
            </w:tcMar>
            <w:hideMark/>
          </w:tcPr>
          <w:p w14:paraId="043B6C9A" w14:textId="77777777" w:rsidR="005E6822" w:rsidRPr="00471165" w:rsidRDefault="005E6822" w:rsidP="005E6822">
            <w:pPr>
              <w:keepNext/>
              <w:spacing w:line="240" w:lineRule="auto"/>
              <w:rPr>
                <w:rFonts w:ascii="Arial" w:hAnsi="Arial"/>
                <w:szCs w:val="24"/>
                <w:lang w:val="en-GB"/>
              </w:rPr>
            </w:pPr>
          </w:p>
        </w:tc>
        <w:tc>
          <w:tcPr>
            <w:tcW w:w="1844" w:type="pct"/>
            <w:tcBorders>
              <w:top w:val="nil"/>
              <w:left w:val="nil"/>
              <w:bottom w:val="single" w:sz="8" w:space="0" w:color="auto"/>
              <w:right w:val="nil"/>
            </w:tcBorders>
            <w:shd w:val="clear" w:color="auto" w:fill="auto"/>
            <w:tcMar>
              <w:top w:w="72" w:type="dxa"/>
              <w:left w:w="144" w:type="dxa"/>
              <w:bottom w:w="72" w:type="dxa"/>
              <w:right w:w="144" w:type="dxa"/>
            </w:tcMar>
            <w:hideMark/>
          </w:tcPr>
          <w:p w14:paraId="76C211A8" w14:textId="77777777" w:rsidR="005E6822" w:rsidRPr="00471165" w:rsidRDefault="005E6822" w:rsidP="005E6822">
            <w:pPr>
              <w:keepNext/>
              <w:spacing w:line="240" w:lineRule="auto"/>
              <w:rPr>
                <w:rFonts w:ascii="Arial" w:hAnsi="Arial"/>
                <w:szCs w:val="24"/>
                <w:lang w:val="en-GB"/>
              </w:rPr>
            </w:pPr>
          </w:p>
        </w:tc>
        <w:tc>
          <w:tcPr>
            <w:tcW w:w="454" w:type="pct"/>
            <w:tcBorders>
              <w:top w:val="nil"/>
              <w:left w:val="nil"/>
              <w:bottom w:val="single" w:sz="8" w:space="0" w:color="auto"/>
              <w:right w:val="nil"/>
            </w:tcBorders>
            <w:shd w:val="clear" w:color="auto" w:fill="auto"/>
            <w:tcMar>
              <w:top w:w="72" w:type="dxa"/>
              <w:left w:w="144" w:type="dxa"/>
              <w:bottom w:w="72" w:type="dxa"/>
              <w:right w:w="144" w:type="dxa"/>
            </w:tcMar>
            <w:hideMark/>
          </w:tcPr>
          <w:p w14:paraId="0E2C3F56" w14:textId="77777777" w:rsidR="005E6822" w:rsidRPr="00471165" w:rsidRDefault="005E6822" w:rsidP="005E6822">
            <w:pPr>
              <w:keepNext/>
              <w:spacing w:line="240" w:lineRule="auto"/>
              <w:rPr>
                <w:rFonts w:ascii="Arial" w:eastAsiaTheme="minorEastAsia" w:hAnsi="Arial"/>
                <w:szCs w:val="24"/>
                <w:lang w:val="en-GB"/>
              </w:rPr>
            </w:pPr>
            <w:r w:rsidRPr="00471165">
              <w:rPr>
                <w:rFonts w:eastAsiaTheme="minorEastAsia"/>
                <w:b/>
                <w:bCs/>
                <w:szCs w:val="24"/>
                <w:lang w:val="en-GB"/>
              </w:rPr>
              <w:t>2006</w:t>
            </w:r>
          </w:p>
        </w:tc>
        <w:tc>
          <w:tcPr>
            <w:tcW w:w="455" w:type="pct"/>
            <w:tcBorders>
              <w:top w:val="nil"/>
              <w:left w:val="nil"/>
              <w:bottom w:val="single" w:sz="8" w:space="0" w:color="auto"/>
              <w:right w:val="nil"/>
            </w:tcBorders>
            <w:shd w:val="clear" w:color="auto" w:fill="auto"/>
            <w:tcMar>
              <w:top w:w="72" w:type="dxa"/>
              <w:left w:w="144" w:type="dxa"/>
              <w:bottom w:w="72" w:type="dxa"/>
              <w:right w:w="144" w:type="dxa"/>
            </w:tcMar>
            <w:hideMark/>
          </w:tcPr>
          <w:p w14:paraId="52868FE5" w14:textId="77777777" w:rsidR="005E6822" w:rsidRPr="00471165" w:rsidRDefault="005E6822" w:rsidP="005E6822">
            <w:pPr>
              <w:keepNext/>
              <w:spacing w:line="240" w:lineRule="auto"/>
              <w:rPr>
                <w:rFonts w:ascii="Arial" w:eastAsiaTheme="minorEastAsia" w:hAnsi="Arial"/>
                <w:szCs w:val="24"/>
                <w:lang w:val="en-GB"/>
              </w:rPr>
            </w:pPr>
            <w:r w:rsidRPr="00471165">
              <w:rPr>
                <w:rFonts w:eastAsiaTheme="minorEastAsia"/>
                <w:b/>
                <w:bCs/>
                <w:szCs w:val="24"/>
                <w:lang w:val="en-GB"/>
              </w:rPr>
              <w:t>2008</w:t>
            </w:r>
          </w:p>
        </w:tc>
        <w:tc>
          <w:tcPr>
            <w:tcW w:w="452" w:type="pct"/>
            <w:tcBorders>
              <w:top w:val="nil"/>
              <w:left w:val="nil"/>
              <w:bottom w:val="single" w:sz="8" w:space="0" w:color="auto"/>
              <w:right w:val="nil"/>
            </w:tcBorders>
            <w:shd w:val="clear" w:color="auto" w:fill="auto"/>
            <w:tcMar>
              <w:top w:w="72" w:type="dxa"/>
              <w:left w:w="144" w:type="dxa"/>
              <w:bottom w:w="72" w:type="dxa"/>
              <w:right w:w="144" w:type="dxa"/>
            </w:tcMar>
            <w:hideMark/>
          </w:tcPr>
          <w:p w14:paraId="0F4B333D" w14:textId="77777777" w:rsidR="005E6822" w:rsidRPr="00471165" w:rsidRDefault="005E6822" w:rsidP="005E6822">
            <w:pPr>
              <w:keepNext/>
              <w:spacing w:line="240" w:lineRule="auto"/>
              <w:rPr>
                <w:rFonts w:ascii="Arial" w:eastAsiaTheme="minorEastAsia" w:hAnsi="Arial"/>
                <w:szCs w:val="24"/>
                <w:lang w:val="en-GB"/>
              </w:rPr>
            </w:pPr>
            <w:r w:rsidRPr="00471165">
              <w:rPr>
                <w:rFonts w:eastAsiaTheme="minorEastAsia"/>
                <w:b/>
                <w:bCs/>
                <w:szCs w:val="24"/>
                <w:lang w:val="en-GB"/>
              </w:rPr>
              <w:t>2010</w:t>
            </w:r>
          </w:p>
        </w:tc>
      </w:tr>
      <w:tr w:rsidR="005E6822" w:rsidRPr="00471165" w14:paraId="4519703E" w14:textId="77777777" w:rsidTr="005E6822">
        <w:trPr>
          <w:trHeight w:val="584"/>
        </w:trPr>
        <w:tc>
          <w:tcPr>
            <w:tcW w:w="625" w:type="pct"/>
            <w:tcBorders>
              <w:top w:val="single" w:sz="8" w:space="0" w:color="auto"/>
              <w:left w:val="nil"/>
              <w:bottom w:val="nil"/>
              <w:right w:val="nil"/>
            </w:tcBorders>
            <w:shd w:val="clear" w:color="auto" w:fill="auto"/>
            <w:tcMar>
              <w:top w:w="72" w:type="dxa"/>
              <w:left w:w="144" w:type="dxa"/>
              <w:bottom w:w="72" w:type="dxa"/>
              <w:right w:w="144" w:type="dxa"/>
            </w:tcMar>
            <w:hideMark/>
          </w:tcPr>
          <w:p w14:paraId="44CA1836" w14:textId="77777777" w:rsidR="005E6822" w:rsidRPr="00471165" w:rsidRDefault="005E6822" w:rsidP="005E6822">
            <w:pPr>
              <w:keepNext/>
              <w:spacing w:line="240" w:lineRule="auto"/>
              <w:jc w:val="left"/>
              <w:rPr>
                <w:rFonts w:ascii="Arial" w:eastAsiaTheme="minorEastAsia" w:hAnsi="Arial"/>
                <w:i/>
                <w:szCs w:val="24"/>
                <w:lang w:val="en-GB"/>
              </w:rPr>
            </w:pPr>
            <w:r w:rsidRPr="00471165">
              <w:rPr>
                <w:rFonts w:eastAsiaTheme="minorEastAsia"/>
                <w:i/>
                <w:szCs w:val="24"/>
                <w:lang w:val="en-GB"/>
              </w:rPr>
              <w:t>Big city regions</w:t>
            </w:r>
          </w:p>
        </w:tc>
        <w:tc>
          <w:tcPr>
            <w:tcW w:w="1170" w:type="pct"/>
            <w:tcBorders>
              <w:top w:val="single" w:sz="8" w:space="0" w:color="auto"/>
              <w:left w:val="nil"/>
              <w:bottom w:val="nil"/>
              <w:right w:val="nil"/>
            </w:tcBorders>
            <w:shd w:val="clear" w:color="auto" w:fill="auto"/>
            <w:tcMar>
              <w:top w:w="72" w:type="dxa"/>
              <w:left w:w="144" w:type="dxa"/>
              <w:bottom w:w="72" w:type="dxa"/>
              <w:right w:w="144" w:type="dxa"/>
            </w:tcMar>
            <w:hideMark/>
          </w:tcPr>
          <w:p w14:paraId="180FBB24" w14:textId="77777777" w:rsidR="005E6822" w:rsidRPr="00471165" w:rsidRDefault="005E6822" w:rsidP="005E6822">
            <w:pPr>
              <w:keepNext/>
              <w:spacing w:line="240" w:lineRule="auto"/>
              <w:jc w:val="left"/>
              <w:rPr>
                <w:rFonts w:ascii="Arial" w:eastAsiaTheme="minorEastAsia" w:hAnsi="Arial"/>
                <w:szCs w:val="24"/>
                <w:lang w:val="en-GB"/>
              </w:rPr>
            </w:pPr>
            <w:proofErr w:type="spellStart"/>
            <w:r>
              <w:rPr>
                <w:rFonts w:eastAsiaTheme="minorEastAsia"/>
                <w:szCs w:val="24"/>
                <w:lang w:val="en-GB"/>
              </w:rPr>
              <w:t>Cent</w:t>
            </w:r>
            <w:r w:rsidRPr="00471165">
              <w:rPr>
                <w:rFonts w:eastAsiaTheme="minorEastAsia"/>
                <w:szCs w:val="24"/>
                <w:lang w:val="en-GB"/>
              </w:rPr>
              <w:t>e</w:t>
            </w:r>
            <w:r>
              <w:rPr>
                <w:rFonts w:eastAsiaTheme="minorEastAsia"/>
                <w:szCs w:val="24"/>
                <w:lang w:val="en-GB"/>
              </w:rPr>
              <w:t>r</w:t>
            </w:r>
            <w:r w:rsidRPr="00471165">
              <w:rPr>
                <w:rFonts w:eastAsiaTheme="minorEastAsia"/>
                <w:szCs w:val="24"/>
                <w:lang w:val="en-GB"/>
              </w:rPr>
              <w:t>s</w:t>
            </w:r>
            <w:proofErr w:type="spellEnd"/>
            <w:r w:rsidRPr="00471165">
              <w:rPr>
                <w:rFonts w:eastAsiaTheme="minorEastAsia"/>
                <w:szCs w:val="24"/>
                <w:lang w:val="en-GB"/>
              </w:rPr>
              <w:t xml:space="preserve"> with &gt;500,000 pop.</w:t>
            </w:r>
          </w:p>
        </w:tc>
        <w:tc>
          <w:tcPr>
            <w:tcW w:w="1844" w:type="pct"/>
            <w:tcBorders>
              <w:top w:val="single" w:sz="8" w:space="0" w:color="auto"/>
              <w:left w:val="nil"/>
              <w:bottom w:val="nil"/>
              <w:right w:val="nil"/>
            </w:tcBorders>
            <w:shd w:val="clear" w:color="auto" w:fill="auto"/>
            <w:tcMar>
              <w:top w:w="72" w:type="dxa"/>
              <w:left w:w="144" w:type="dxa"/>
              <w:bottom w:w="72" w:type="dxa"/>
              <w:right w:w="144" w:type="dxa"/>
            </w:tcMar>
            <w:hideMark/>
          </w:tcPr>
          <w:p w14:paraId="2E8B20A8" w14:textId="77777777" w:rsidR="005E6822" w:rsidRPr="00471165" w:rsidRDefault="005E6822" w:rsidP="005E6822">
            <w:pPr>
              <w:keepNext/>
              <w:spacing w:line="240" w:lineRule="auto"/>
              <w:jc w:val="left"/>
              <w:rPr>
                <w:rFonts w:ascii="Arial" w:eastAsiaTheme="minorEastAsia" w:hAnsi="Arial"/>
                <w:szCs w:val="24"/>
                <w:lang w:val="en-GB"/>
              </w:rPr>
            </w:pPr>
            <w:r w:rsidRPr="00471165">
              <w:rPr>
                <w:rFonts w:eastAsiaTheme="minorEastAsia"/>
                <w:szCs w:val="24"/>
                <w:lang w:val="en-GB"/>
              </w:rPr>
              <w:t>Oslo</w:t>
            </w:r>
          </w:p>
        </w:tc>
        <w:tc>
          <w:tcPr>
            <w:tcW w:w="454" w:type="pct"/>
            <w:tcBorders>
              <w:top w:val="single" w:sz="8" w:space="0" w:color="auto"/>
              <w:left w:val="nil"/>
              <w:bottom w:val="nil"/>
              <w:right w:val="nil"/>
            </w:tcBorders>
            <w:shd w:val="clear" w:color="auto" w:fill="auto"/>
            <w:tcMar>
              <w:top w:w="72" w:type="dxa"/>
              <w:left w:w="144" w:type="dxa"/>
              <w:bottom w:w="72" w:type="dxa"/>
              <w:right w:w="144" w:type="dxa"/>
            </w:tcMar>
            <w:hideMark/>
          </w:tcPr>
          <w:p w14:paraId="2A7098EF" w14:textId="77777777" w:rsidR="005E6822" w:rsidRPr="00471165" w:rsidRDefault="005E6822" w:rsidP="005E6822">
            <w:pPr>
              <w:keepNext/>
              <w:spacing w:line="240" w:lineRule="auto"/>
              <w:rPr>
                <w:rFonts w:ascii="Arial" w:eastAsiaTheme="minorEastAsia" w:hAnsi="Arial"/>
                <w:szCs w:val="24"/>
                <w:lang w:val="en-GB"/>
              </w:rPr>
            </w:pPr>
            <w:r w:rsidRPr="00471165">
              <w:rPr>
                <w:rFonts w:eastAsiaTheme="minorEastAsia"/>
                <w:szCs w:val="24"/>
                <w:lang w:val="en-GB"/>
              </w:rPr>
              <w:t>1624</w:t>
            </w:r>
          </w:p>
        </w:tc>
        <w:tc>
          <w:tcPr>
            <w:tcW w:w="455" w:type="pct"/>
            <w:tcBorders>
              <w:top w:val="single" w:sz="8" w:space="0" w:color="auto"/>
              <w:left w:val="nil"/>
              <w:bottom w:val="nil"/>
              <w:right w:val="nil"/>
            </w:tcBorders>
            <w:shd w:val="clear" w:color="auto" w:fill="auto"/>
            <w:tcMar>
              <w:top w:w="72" w:type="dxa"/>
              <w:left w:w="144" w:type="dxa"/>
              <w:bottom w:w="72" w:type="dxa"/>
              <w:right w:w="144" w:type="dxa"/>
            </w:tcMar>
            <w:hideMark/>
          </w:tcPr>
          <w:p w14:paraId="3CA7E2BD" w14:textId="77777777" w:rsidR="005E6822" w:rsidRPr="00471165" w:rsidRDefault="005E6822" w:rsidP="005E6822">
            <w:pPr>
              <w:keepNext/>
              <w:spacing w:line="240" w:lineRule="auto"/>
              <w:rPr>
                <w:rFonts w:ascii="Arial" w:eastAsiaTheme="minorEastAsia" w:hAnsi="Arial"/>
                <w:szCs w:val="24"/>
                <w:lang w:val="en-GB"/>
              </w:rPr>
            </w:pPr>
            <w:r w:rsidRPr="00471165">
              <w:rPr>
                <w:rFonts w:eastAsiaTheme="minorEastAsia"/>
                <w:szCs w:val="24"/>
                <w:lang w:val="en-GB"/>
              </w:rPr>
              <w:t>1732</w:t>
            </w:r>
          </w:p>
        </w:tc>
        <w:tc>
          <w:tcPr>
            <w:tcW w:w="452" w:type="pct"/>
            <w:tcBorders>
              <w:top w:val="single" w:sz="8" w:space="0" w:color="auto"/>
              <w:left w:val="nil"/>
              <w:bottom w:val="nil"/>
              <w:right w:val="nil"/>
            </w:tcBorders>
            <w:shd w:val="clear" w:color="auto" w:fill="auto"/>
            <w:tcMar>
              <w:top w:w="72" w:type="dxa"/>
              <w:left w:w="144" w:type="dxa"/>
              <w:bottom w:w="72" w:type="dxa"/>
              <w:right w:w="144" w:type="dxa"/>
            </w:tcMar>
            <w:hideMark/>
          </w:tcPr>
          <w:p w14:paraId="0FB2454E" w14:textId="77777777" w:rsidR="005E6822" w:rsidRPr="00471165" w:rsidRDefault="005E6822" w:rsidP="005E6822">
            <w:pPr>
              <w:keepNext/>
              <w:spacing w:line="240" w:lineRule="auto"/>
              <w:rPr>
                <w:rFonts w:ascii="Arial" w:eastAsiaTheme="minorEastAsia" w:hAnsi="Arial"/>
                <w:szCs w:val="24"/>
                <w:lang w:val="en-GB"/>
              </w:rPr>
            </w:pPr>
            <w:r w:rsidRPr="00471165">
              <w:rPr>
                <w:rFonts w:eastAsiaTheme="minorEastAsia"/>
                <w:szCs w:val="24"/>
                <w:lang w:val="en-GB"/>
              </w:rPr>
              <w:t>1854</w:t>
            </w:r>
          </w:p>
        </w:tc>
      </w:tr>
      <w:tr w:rsidR="005E6822" w:rsidRPr="00471165" w14:paraId="3556BE29" w14:textId="77777777" w:rsidTr="005E6822">
        <w:trPr>
          <w:trHeight w:val="584"/>
        </w:trPr>
        <w:tc>
          <w:tcPr>
            <w:tcW w:w="625" w:type="pct"/>
            <w:tcBorders>
              <w:top w:val="nil"/>
              <w:left w:val="nil"/>
              <w:bottom w:val="nil"/>
              <w:right w:val="nil"/>
            </w:tcBorders>
            <w:shd w:val="clear" w:color="auto" w:fill="auto"/>
            <w:tcMar>
              <w:top w:w="72" w:type="dxa"/>
              <w:left w:w="144" w:type="dxa"/>
              <w:bottom w:w="72" w:type="dxa"/>
              <w:right w:w="144" w:type="dxa"/>
            </w:tcMar>
            <w:hideMark/>
          </w:tcPr>
          <w:p w14:paraId="7BF3C91F" w14:textId="77777777" w:rsidR="005E6822" w:rsidRPr="00471165" w:rsidRDefault="005E6822" w:rsidP="005E6822">
            <w:pPr>
              <w:keepNext/>
              <w:spacing w:line="240" w:lineRule="auto"/>
              <w:jc w:val="left"/>
              <w:rPr>
                <w:rFonts w:ascii="Arial" w:eastAsiaTheme="minorEastAsia" w:hAnsi="Arial"/>
                <w:i/>
                <w:szCs w:val="24"/>
                <w:lang w:val="en-GB"/>
              </w:rPr>
            </w:pPr>
            <w:r w:rsidRPr="00471165">
              <w:rPr>
                <w:rFonts w:eastAsiaTheme="minorEastAsia"/>
                <w:i/>
                <w:szCs w:val="24"/>
                <w:lang w:val="en-GB"/>
              </w:rPr>
              <w:t>Medium city regions</w:t>
            </w:r>
          </w:p>
        </w:tc>
        <w:tc>
          <w:tcPr>
            <w:tcW w:w="1170" w:type="pct"/>
            <w:tcBorders>
              <w:top w:val="nil"/>
              <w:left w:val="nil"/>
              <w:bottom w:val="nil"/>
              <w:right w:val="nil"/>
            </w:tcBorders>
            <w:shd w:val="clear" w:color="auto" w:fill="auto"/>
            <w:tcMar>
              <w:top w:w="72" w:type="dxa"/>
              <w:left w:w="144" w:type="dxa"/>
              <w:bottom w:w="72" w:type="dxa"/>
              <w:right w:w="144" w:type="dxa"/>
            </w:tcMar>
            <w:hideMark/>
          </w:tcPr>
          <w:p w14:paraId="527798DB" w14:textId="77777777" w:rsidR="005E6822" w:rsidRPr="00471165" w:rsidRDefault="005E6822" w:rsidP="005E6822">
            <w:pPr>
              <w:keepNext/>
              <w:spacing w:line="240" w:lineRule="auto"/>
              <w:jc w:val="left"/>
              <w:rPr>
                <w:rFonts w:ascii="Arial" w:eastAsiaTheme="minorEastAsia" w:hAnsi="Arial"/>
                <w:szCs w:val="24"/>
                <w:lang w:val="en-GB"/>
              </w:rPr>
            </w:pPr>
            <w:proofErr w:type="spellStart"/>
            <w:r>
              <w:rPr>
                <w:rFonts w:eastAsiaTheme="minorEastAsia"/>
                <w:szCs w:val="24"/>
                <w:lang w:val="en-GB"/>
              </w:rPr>
              <w:t>Center</w:t>
            </w:r>
            <w:r w:rsidRPr="00471165">
              <w:rPr>
                <w:rFonts w:eastAsiaTheme="minorEastAsia"/>
                <w:szCs w:val="24"/>
                <w:lang w:val="en-GB"/>
              </w:rPr>
              <w:t>s</w:t>
            </w:r>
            <w:proofErr w:type="spellEnd"/>
            <w:r w:rsidRPr="00471165">
              <w:rPr>
                <w:rFonts w:eastAsiaTheme="minorEastAsia"/>
                <w:szCs w:val="24"/>
                <w:lang w:val="en-GB"/>
              </w:rPr>
              <w:t xml:space="preserve"> with 150,000 – 500,000 pop. </w:t>
            </w:r>
          </w:p>
        </w:tc>
        <w:tc>
          <w:tcPr>
            <w:tcW w:w="1844" w:type="pct"/>
            <w:tcBorders>
              <w:top w:val="nil"/>
              <w:left w:val="nil"/>
              <w:bottom w:val="nil"/>
              <w:right w:val="nil"/>
            </w:tcBorders>
            <w:shd w:val="clear" w:color="auto" w:fill="auto"/>
            <w:tcMar>
              <w:top w:w="72" w:type="dxa"/>
              <w:left w:w="144" w:type="dxa"/>
              <w:bottom w:w="72" w:type="dxa"/>
              <w:right w:w="144" w:type="dxa"/>
            </w:tcMar>
            <w:hideMark/>
          </w:tcPr>
          <w:p w14:paraId="512FE74B" w14:textId="77777777" w:rsidR="005E6822" w:rsidRPr="00471165" w:rsidRDefault="005E6822" w:rsidP="005E6822">
            <w:pPr>
              <w:keepNext/>
              <w:spacing w:line="240" w:lineRule="auto"/>
              <w:jc w:val="left"/>
              <w:rPr>
                <w:rFonts w:ascii="Arial" w:eastAsiaTheme="minorEastAsia" w:hAnsi="Arial"/>
                <w:szCs w:val="24"/>
                <w:lang w:val="en-GB"/>
              </w:rPr>
            </w:pPr>
            <w:r w:rsidRPr="00471165">
              <w:rPr>
                <w:rFonts w:eastAsiaTheme="minorEastAsia"/>
                <w:szCs w:val="24"/>
                <w:lang w:val="en-GB"/>
              </w:rPr>
              <w:t>Bergen, Stavanger, Trondheim</w:t>
            </w:r>
          </w:p>
        </w:tc>
        <w:tc>
          <w:tcPr>
            <w:tcW w:w="454" w:type="pct"/>
            <w:tcBorders>
              <w:top w:val="nil"/>
              <w:left w:val="nil"/>
              <w:bottom w:val="nil"/>
              <w:right w:val="nil"/>
            </w:tcBorders>
            <w:shd w:val="clear" w:color="auto" w:fill="auto"/>
            <w:tcMar>
              <w:top w:w="72" w:type="dxa"/>
              <w:left w:w="144" w:type="dxa"/>
              <w:bottom w:w="72" w:type="dxa"/>
              <w:right w:w="144" w:type="dxa"/>
            </w:tcMar>
            <w:hideMark/>
          </w:tcPr>
          <w:p w14:paraId="35C90B01" w14:textId="77777777" w:rsidR="005E6822" w:rsidRPr="00471165" w:rsidRDefault="005E6822" w:rsidP="005E6822">
            <w:pPr>
              <w:keepNext/>
              <w:spacing w:line="240" w:lineRule="auto"/>
              <w:rPr>
                <w:rFonts w:ascii="Arial" w:eastAsiaTheme="minorEastAsia" w:hAnsi="Arial"/>
                <w:szCs w:val="24"/>
                <w:lang w:val="en-GB"/>
              </w:rPr>
            </w:pPr>
            <w:r w:rsidRPr="00471165">
              <w:rPr>
                <w:rFonts w:eastAsiaTheme="minorEastAsia"/>
                <w:szCs w:val="24"/>
                <w:lang w:val="en-GB"/>
              </w:rPr>
              <w:t>1160</w:t>
            </w:r>
          </w:p>
        </w:tc>
        <w:tc>
          <w:tcPr>
            <w:tcW w:w="455" w:type="pct"/>
            <w:tcBorders>
              <w:top w:val="nil"/>
              <w:left w:val="nil"/>
              <w:bottom w:val="nil"/>
              <w:right w:val="nil"/>
            </w:tcBorders>
            <w:shd w:val="clear" w:color="auto" w:fill="auto"/>
            <w:tcMar>
              <w:top w:w="72" w:type="dxa"/>
              <w:left w:w="144" w:type="dxa"/>
              <w:bottom w:w="72" w:type="dxa"/>
              <w:right w:w="144" w:type="dxa"/>
            </w:tcMar>
            <w:hideMark/>
          </w:tcPr>
          <w:p w14:paraId="7CB7E845" w14:textId="77777777" w:rsidR="005E6822" w:rsidRPr="00471165" w:rsidRDefault="005E6822" w:rsidP="005E6822">
            <w:pPr>
              <w:keepNext/>
              <w:spacing w:line="240" w:lineRule="auto"/>
              <w:rPr>
                <w:rFonts w:ascii="Arial" w:eastAsiaTheme="minorEastAsia" w:hAnsi="Arial"/>
                <w:szCs w:val="24"/>
                <w:lang w:val="en-GB"/>
              </w:rPr>
            </w:pPr>
            <w:r w:rsidRPr="00471165">
              <w:rPr>
                <w:rFonts w:eastAsiaTheme="minorEastAsia"/>
                <w:szCs w:val="24"/>
                <w:lang w:val="en-GB"/>
              </w:rPr>
              <w:t>1169</w:t>
            </w:r>
          </w:p>
        </w:tc>
        <w:tc>
          <w:tcPr>
            <w:tcW w:w="452" w:type="pct"/>
            <w:tcBorders>
              <w:top w:val="nil"/>
              <w:left w:val="nil"/>
              <w:bottom w:val="nil"/>
              <w:right w:val="nil"/>
            </w:tcBorders>
            <w:shd w:val="clear" w:color="auto" w:fill="auto"/>
            <w:tcMar>
              <w:top w:w="72" w:type="dxa"/>
              <w:left w:w="144" w:type="dxa"/>
              <w:bottom w:w="72" w:type="dxa"/>
              <w:right w:w="144" w:type="dxa"/>
            </w:tcMar>
            <w:hideMark/>
          </w:tcPr>
          <w:p w14:paraId="3656A723" w14:textId="77777777" w:rsidR="005E6822" w:rsidRPr="00471165" w:rsidRDefault="005E6822" w:rsidP="005E6822">
            <w:pPr>
              <w:keepNext/>
              <w:spacing w:line="240" w:lineRule="auto"/>
              <w:rPr>
                <w:rFonts w:ascii="Arial" w:eastAsiaTheme="minorEastAsia" w:hAnsi="Arial"/>
                <w:szCs w:val="24"/>
                <w:lang w:val="en-GB"/>
              </w:rPr>
            </w:pPr>
            <w:r w:rsidRPr="00471165">
              <w:rPr>
                <w:rFonts w:eastAsiaTheme="minorEastAsia"/>
                <w:szCs w:val="24"/>
                <w:lang w:val="en-GB"/>
              </w:rPr>
              <w:t>1253</w:t>
            </w:r>
          </w:p>
        </w:tc>
      </w:tr>
      <w:tr w:rsidR="005E6822" w:rsidRPr="00471165" w14:paraId="68FE6797" w14:textId="77777777" w:rsidTr="005E6822">
        <w:trPr>
          <w:trHeight w:val="650"/>
        </w:trPr>
        <w:tc>
          <w:tcPr>
            <w:tcW w:w="625" w:type="pct"/>
            <w:tcBorders>
              <w:top w:val="nil"/>
              <w:left w:val="nil"/>
              <w:right w:val="nil"/>
            </w:tcBorders>
            <w:shd w:val="clear" w:color="auto" w:fill="auto"/>
            <w:tcMar>
              <w:top w:w="72" w:type="dxa"/>
              <w:left w:w="144" w:type="dxa"/>
              <w:bottom w:w="72" w:type="dxa"/>
              <w:right w:w="144" w:type="dxa"/>
            </w:tcMar>
            <w:hideMark/>
          </w:tcPr>
          <w:p w14:paraId="5BC9F991" w14:textId="77777777" w:rsidR="005E6822" w:rsidRPr="00471165" w:rsidRDefault="005E6822" w:rsidP="005E6822">
            <w:pPr>
              <w:keepNext/>
              <w:spacing w:line="240" w:lineRule="auto"/>
              <w:jc w:val="left"/>
              <w:rPr>
                <w:rFonts w:ascii="Arial" w:eastAsiaTheme="minorEastAsia" w:hAnsi="Arial"/>
                <w:i/>
                <w:szCs w:val="24"/>
                <w:lang w:val="en-GB"/>
              </w:rPr>
            </w:pPr>
            <w:r w:rsidRPr="00471165">
              <w:rPr>
                <w:rFonts w:eastAsiaTheme="minorEastAsia"/>
                <w:i/>
                <w:szCs w:val="24"/>
                <w:lang w:val="en-GB"/>
              </w:rPr>
              <w:t>Small city regions</w:t>
            </w:r>
          </w:p>
        </w:tc>
        <w:tc>
          <w:tcPr>
            <w:tcW w:w="1170" w:type="pct"/>
            <w:tcBorders>
              <w:top w:val="nil"/>
              <w:left w:val="nil"/>
              <w:right w:val="nil"/>
            </w:tcBorders>
            <w:shd w:val="clear" w:color="auto" w:fill="auto"/>
            <w:tcMar>
              <w:top w:w="72" w:type="dxa"/>
              <w:left w:w="144" w:type="dxa"/>
              <w:bottom w:w="72" w:type="dxa"/>
              <w:right w:w="144" w:type="dxa"/>
            </w:tcMar>
            <w:hideMark/>
          </w:tcPr>
          <w:p w14:paraId="6E78253C" w14:textId="77777777" w:rsidR="005E6822" w:rsidRPr="00471165" w:rsidRDefault="005E6822" w:rsidP="005E6822">
            <w:pPr>
              <w:keepNext/>
              <w:spacing w:line="240" w:lineRule="auto"/>
              <w:jc w:val="left"/>
              <w:rPr>
                <w:rFonts w:ascii="Arial" w:eastAsiaTheme="minorEastAsia" w:hAnsi="Arial"/>
                <w:szCs w:val="24"/>
                <w:lang w:val="en-GB"/>
              </w:rPr>
            </w:pPr>
            <w:proofErr w:type="spellStart"/>
            <w:r>
              <w:rPr>
                <w:rFonts w:eastAsiaTheme="minorEastAsia"/>
                <w:szCs w:val="24"/>
                <w:lang w:val="en-GB"/>
              </w:rPr>
              <w:t>Center</w:t>
            </w:r>
            <w:r w:rsidRPr="00471165">
              <w:rPr>
                <w:rFonts w:eastAsiaTheme="minorEastAsia"/>
                <w:szCs w:val="24"/>
                <w:lang w:val="en-GB"/>
              </w:rPr>
              <w:t>s</w:t>
            </w:r>
            <w:proofErr w:type="spellEnd"/>
            <w:r w:rsidRPr="00471165">
              <w:rPr>
                <w:rFonts w:eastAsiaTheme="minorEastAsia"/>
                <w:szCs w:val="24"/>
                <w:lang w:val="en-GB"/>
              </w:rPr>
              <w:t xml:space="preserve"> with pop. 19,000 – 150,000 pop.</w:t>
            </w:r>
          </w:p>
        </w:tc>
        <w:tc>
          <w:tcPr>
            <w:tcW w:w="1844" w:type="pct"/>
            <w:tcBorders>
              <w:top w:val="nil"/>
              <w:left w:val="nil"/>
              <w:right w:val="nil"/>
            </w:tcBorders>
            <w:shd w:val="clear" w:color="auto" w:fill="auto"/>
            <w:tcMar>
              <w:top w:w="72" w:type="dxa"/>
              <w:left w:w="144" w:type="dxa"/>
              <w:bottom w:w="72" w:type="dxa"/>
              <w:right w:w="144" w:type="dxa"/>
            </w:tcMar>
            <w:hideMark/>
          </w:tcPr>
          <w:p w14:paraId="12396EC7" w14:textId="77777777" w:rsidR="005E6822" w:rsidRPr="00471165" w:rsidRDefault="005E6822" w:rsidP="005E6822">
            <w:pPr>
              <w:keepNext/>
              <w:spacing w:line="240" w:lineRule="auto"/>
              <w:jc w:val="left"/>
              <w:rPr>
                <w:rFonts w:ascii="Arial" w:eastAsiaTheme="minorEastAsia" w:hAnsi="Arial"/>
                <w:szCs w:val="24"/>
                <w:lang w:val="en-GB"/>
              </w:rPr>
            </w:pPr>
            <w:proofErr w:type="spellStart"/>
            <w:r w:rsidRPr="00471165">
              <w:rPr>
                <w:rFonts w:eastAsiaTheme="minorEastAsia"/>
                <w:szCs w:val="24"/>
                <w:lang w:val="en-GB"/>
              </w:rPr>
              <w:t>Fredrikstad</w:t>
            </w:r>
            <w:proofErr w:type="spellEnd"/>
            <w:r w:rsidRPr="00471165">
              <w:rPr>
                <w:rFonts w:eastAsiaTheme="minorEastAsia"/>
                <w:szCs w:val="24"/>
                <w:lang w:val="en-GB"/>
              </w:rPr>
              <w:t xml:space="preserve">, Drammen, </w:t>
            </w:r>
            <w:proofErr w:type="spellStart"/>
            <w:r w:rsidRPr="00471165">
              <w:rPr>
                <w:rFonts w:eastAsiaTheme="minorEastAsia"/>
                <w:szCs w:val="24"/>
                <w:lang w:val="en-GB"/>
              </w:rPr>
              <w:t>Tønsberg</w:t>
            </w:r>
            <w:proofErr w:type="spellEnd"/>
            <w:r w:rsidRPr="00471165">
              <w:rPr>
                <w:rFonts w:eastAsiaTheme="minorEastAsia"/>
                <w:szCs w:val="24"/>
                <w:lang w:val="en-GB"/>
              </w:rPr>
              <w:t xml:space="preserve">, </w:t>
            </w:r>
            <w:proofErr w:type="spellStart"/>
            <w:r w:rsidRPr="00471165">
              <w:rPr>
                <w:rFonts w:eastAsiaTheme="minorEastAsia"/>
                <w:szCs w:val="24"/>
                <w:lang w:val="en-GB"/>
              </w:rPr>
              <w:t>Grenland</w:t>
            </w:r>
            <w:proofErr w:type="spellEnd"/>
            <w:r w:rsidRPr="00471165">
              <w:rPr>
                <w:rFonts w:eastAsiaTheme="minorEastAsia"/>
                <w:szCs w:val="24"/>
                <w:lang w:val="en-GB"/>
              </w:rPr>
              <w:t xml:space="preserve">, Kristiansand, </w:t>
            </w:r>
            <w:proofErr w:type="spellStart"/>
            <w:r w:rsidRPr="00471165">
              <w:rPr>
                <w:rFonts w:eastAsiaTheme="minorEastAsia"/>
                <w:szCs w:val="24"/>
                <w:lang w:val="en-GB"/>
              </w:rPr>
              <w:t>Ålesund</w:t>
            </w:r>
            <w:proofErr w:type="spellEnd"/>
            <w:r w:rsidRPr="00471165">
              <w:rPr>
                <w:rFonts w:eastAsiaTheme="minorEastAsia"/>
                <w:szCs w:val="24"/>
                <w:lang w:val="en-GB"/>
              </w:rPr>
              <w:t xml:space="preserve">, </w:t>
            </w:r>
            <w:proofErr w:type="spellStart"/>
            <w:r w:rsidRPr="00471165">
              <w:rPr>
                <w:rFonts w:eastAsiaTheme="minorEastAsia"/>
                <w:szCs w:val="24"/>
                <w:lang w:val="en-GB"/>
              </w:rPr>
              <w:t>Bodø</w:t>
            </w:r>
            <w:proofErr w:type="spellEnd"/>
            <w:r w:rsidRPr="00471165">
              <w:rPr>
                <w:rFonts w:eastAsiaTheme="minorEastAsia"/>
                <w:szCs w:val="24"/>
                <w:lang w:val="en-GB"/>
              </w:rPr>
              <w:t xml:space="preserve">, </w:t>
            </w:r>
            <w:proofErr w:type="spellStart"/>
            <w:r w:rsidRPr="00471165">
              <w:rPr>
                <w:rFonts w:eastAsiaTheme="minorEastAsia"/>
                <w:szCs w:val="24"/>
                <w:lang w:val="en-GB"/>
              </w:rPr>
              <w:t>Tromsø</w:t>
            </w:r>
            <w:proofErr w:type="spellEnd"/>
            <w:r w:rsidRPr="00471165">
              <w:rPr>
                <w:rFonts w:eastAsiaTheme="minorEastAsia"/>
                <w:szCs w:val="24"/>
                <w:lang w:val="en-GB"/>
              </w:rPr>
              <w:t xml:space="preserve">, Moss, </w:t>
            </w:r>
            <w:proofErr w:type="spellStart"/>
            <w:r w:rsidRPr="00471165">
              <w:rPr>
                <w:rFonts w:eastAsiaTheme="minorEastAsia"/>
                <w:szCs w:val="24"/>
                <w:lang w:val="en-GB"/>
              </w:rPr>
              <w:t>Hamar</w:t>
            </w:r>
            <w:proofErr w:type="spellEnd"/>
            <w:r w:rsidRPr="00471165">
              <w:rPr>
                <w:rFonts w:eastAsiaTheme="minorEastAsia"/>
                <w:szCs w:val="24"/>
                <w:lang w:val="en-GB"/>
              </w:rPr>
              <w:t xml:space="preserve">, Lillehammer, </w:t>
            </w:r>
            <w:proofErr w:type="spellStart"/>
            <w:r w:rsidRPr="00471165">
              <w:rPr>
                <w:rFonts w:eastAsiaTheme="minorEastAsia"/>
                <w:szCs w:val="24"/>
                <w:lang w:val="en-GB"/>
              </w:rPr>
              <w:t>Gjøvik</w:t>
            </w:r>
            <w:proofErr w:type="spellEnd"/>
            <w:r w:rsidRPr="00471165">
              <w:rPr>
                <w:rFonts w:eastAsiaTheme="minorEastAsia"/>
                <w:szCs w:val="24"/>
                <w:lang w:val="en-GB"/>
              </w:rPr>
              <w:t xml:space="preserve">, </w:t>
            </w:r>
            <w:proofErr w:type="spellStart"/>
            <w:r w:rsidRPr="00471165">
              <w:rPr>
                <w:rFonts w:eastAsiaTheme="minorEastAsia"/>
                <w:szCs w:val="24"/>
                <w:lang w:val="en-GB"/>
              </w:rPr>
              <w:t>Sandefjord</w:t>
            </w:r>
            <w:proofErr w:type="spellEnd"/>
            <w:r w:rsidRPr="00471165">
              <w:rPr>
                <w:rFonts w:eastAsiaTheme="minorEastAsia"/>
                <w:szCs w:val="24"/>
                <w:lang w:val="en-GB"/>
              </w:rPr>
              <w:t xml:space="preserve">, </w:t>
            </w:r>
            <w:proofErr w:type="spellStart"/>
            <w:r w:rsidRPr="00471165">
              <w:rPr>
                <w:rFonts w:eastAsiaTheme="minorEastAsia"/>
                <w:szCs w:val="24"/>
                <w:lang w:val="en-GB"/>
              </w:rPr>
              <w:t>Arendal</w:t>
            </w:r>
            <w:proofErr w:type="spellEnd"/>
            <w:r w:rsidRPr="00471165">
              <w:rPr>
                <w:rFonts w:eastAsiaTheme="minorEastAsia"/>
                <w:szCs w:val="24"/>
                <w:lang w:val="en-GB"/>
              </w:rPr>
              <w:t xml:space="preserve">, </w:t>
            </w:r>
            <w:proofErr w:type="spellStart"/>
            <w:r w:rsidRPr="00471165">
              <w:rPr>
                <w:rFonts w:eastAsiaTheme="minorEastAsia"/>
                <w:szCs w:val="24"/>
                <w:lang w:val="en-GB"/>
              </w:rPr>
              <w:t>Haugesund</w:t>
            </w:r>
            <w:proofErr w:type="spellEnd"/>
            <w:r w:rsidRPr="00471165">
              <w:rPr>
                <w:rFonts w:eastAsiaTheme="minorEastAsia"/>
                <w:szCs w:val="24"/>
                <w:lang w:val="en-GB"/>
              </w:rPr>
              <w:t xml:space="preserve">, </w:t>
            </w:r>
            <w:proofErr w:type="spellStart"/>
            <w:r w:rsidRPr="00471165">
              <w:rPr>
                <w:rFonts w:eastAsiaTheme="minorEastAsia"/>
                <w:szCs w:val="24"/>
                <w:lang w:val="en-GB"/>
              </w:rPr>
              <w:t>Molde</w:t>
            </w:r>
            <w:proofErr w:type="spellEnd"/>
          </w:p>
        </w:tc>
        <w:tc>
          <w:tcPr>
            <w:tcW w:w="454" w:type="pct"/>
            <w:tcBorders>
              <w:top w:val="nil"/>
              <w:left w:val="nil"/>
              <w:right w:val="nil"/>
            </w:tcBorders>
            <w:shd w:val="clear" w:color="auto" w:fill="auto"/>
            <w:tcMar>
              <w:top w:w="72" w:type="dxa"/>
              <w:left w:w="144" w:type="dxa"/>
              <w:bottom w:w="72" w:type="dxa"/>
              <w:right w:w="144" w:type="dxa"/>
            </w:tcMar>
            <w:hideMark/>
          </w:tcPr>
          <w:p w14:paraId="405B850F" w14:textId="77777777" w:rsidR="005E6822" w:rsidRPr="00471165" w:rsidRDefault="005E6822" w:rsidP="005E6822">
            <w:pPr>
              <w:keepNext/>
              <w:spacing w:line="240" w:lineRule="auto"/>
              <w:rPr>
                <w:rFonts w:ascii="Arial" w:eastAsiaTheme="minorEastAsia" w:hAnsi="Arial"/>
                <w:szCs w:val="24"/>
                <w:lang w:val="en-GB"/>
              </w:rPr>
            </w:pPr>
            <w:r w:rsidRPr="00471165">
              <w:rPr>
                <w:rFonts w:eastAsiaTheme="minorEastAsia"/>
                <w:szCs w:val="24"/>
                <w:lang w:val="en-GB"/>
              </w:rPr>
              <w:t>1874</w:t>
            </w:r>
          </w:p>
        </w:tc>
        <w:tc>
          <w:tcPr>
            <w:tcW w:w="455" w:type="pct"/>
            <w:tcBorders>
              <w:top w:val="nil"/>
              <w:left w:val="nil"/>
              <w:right w:val="nil"/>
            </w:tcBorders>
            <w:shd w:val="clear" w:color="auto" w:fill="auto"/>
            <w:tcMar>
              <w:top w:w="72" w:type="dxa"/>
              <w:left w:w="144" w:type="dxa"/>
              <w:bottom w:w="72" w:type="dxa"/>
              <w:right w:w="144" w:type="dxa"/>
            </w:tcMar>
            <w:hideMark/>
          </w:tcPr>
          <w:p w14:paraId="120C7634" w14:textId="77777777" w:rsidR="005E6822" w:rsidRPr="00471165" w:rsidRDefault="005E6822" w:rsidP="005E6822">
            <w:pPr>
              <w:keepNext/>
              <w:spacing w:line="240" w:lineRule="auto"/>
              <w:rPr>
                <w:rFonts w:ascii="Arial" w:eastAsiaTheme="minorEastAsia" w:hAnsi="Arial"/>
                <w:szCs w:val="24"/>
                <w:lang w:val="en-GB"/>
              </w:rPr>
            </w:pPr>
            <w:r w:rsidRPr="00471165">
              <w:rPr>
                <w:rFonts w:eastAsiaTheme="minorEastAsia"/>
                <w:szCs w:val="24"/>
                <w:lang w:val="en-GB"/>
              </w:rPr>
              <w:t>1688</w:t>
            </w:r>
          </w:p>
        </w:tc>
        <w:tc>
          <w:tcPr>
            <w:tcW w:w="452" w:type="pct"/>
            <w:tcBorders>
              <w:top w:val="nil"/>
              <w:left w:val="nil"/>
              <w:right w:val="nil"/>
            </w:tcBorders>
            <w:shd w:val="clear" w:color="auto" w:fill="auto"/>
            <w:tcMar>
              <w:top w:w="72" w:type="dxa"/>
              <w:left w:w="144" w:type="dxa"/>
              <w:bottom w:w="72" w:type="dxa"/>
              <w:right w:w="144" w:type="dxa"/>
            </w:tcMar>
            <w:hideMark/>
          </w:tcPr>
          <w:p w14:paraId="031F75FF" w14:textId="77777777" w:rsidR="005E6822" w:rsidRPr="00471165" w:rsidRDefault="005E6822" w:rsidP="005E6822">
            <w:pPr>
              <w:keepNext/>
              <w:spacing w:line="240" w:lineRule="auto"/>
              <w:rPr>
                <w:rFonts w:ascii="Arial" w:eastAsiaTheme="minorEastAsia" w:hAnsi="Arial"/>
                <w:szCs w:val="24"/>
                <w:lang w:val="en-GB"/>
              </w:rPr>
            </w:pPr>
            <w:r w:rsidRPr="00471165">
              <w:rPr>
                <w:rFonts w:eastAsiaTheme="minorEastAsia"/>
                <w:szCs w:val="24"/>
                <w:lang w:val="en-GB"/>
              </w:rPr>
              <w:t>1872</w:t>
            </w:r>
          </w:p>
        </w:tc>
      </w:tr>
      <w:tr w:rsidR="005E6822" w:rsidRPr="00471165" w14:paraId="2CA294ED" w14:textId="77777777" w:rsidTr="005E6822">
        <w:trPr>
          <w:trHeight w:val="584"/>
        </w:trPr>
        <w:tc>
          <w:tcPr>
            <w:tcW w:w="625" w:type="pct"/>
            <w:tcBorders>
              <w:top w:val="nil"/>
              <w:left w:val="nil"/>
              <w:bottom w:val="single" w:sz="8" w:space="0" w:color="auto"/>
              <w:right w:val="nil"/>
            </w:tcBorders>
            <w:shd w:val="clear" w:color="auto" w:fill="auto"/>
            <w:tcMar>
              <w:top w:w="72" w:type="dxa"/>
              <w:left w:w="144" w:type="dxa"/>
              <w:bottom w:w="72" w:type="dxa"/>
              <w:right w:w="144" w:type="dxa"/>
            </w:tcMar>
            <w:hideMark/>
          </w:tcPr>
          <w:p w14:paraId="02D8EF4B" w14:textId="77777777" w:rsidR="005E6822" w:rsidRPr="00471165" w:rsidRDefault="005E6822" w:rsidP="005E6822">
            <w:pPr>
              <w:keepNext/>
              <w:spacing w:line="240" w:lineRule="auto"/>
              <w:jc w:val="left"/>
              <w:rPr>
                <w:rFonts w:ascii="Arial" w:eastAsiaTheme="minorEastAsia" w:hAnsi="Arial"/>
                <w:i/>
                <w:szCs w:val="24"/>
                <w:lang w:val="en-GB"/>
              </w:rPr>
            </w:pPr>
            <w:r w:rsidRPr="00471165">
              <w:rPr>
                <w:rFonts w:eastAsiaTheme="minorEastAsia"/>
                <w:i/>
                <w:szCs w:val="24"/>
                <w:lang w:val="en-GB"/>
              </w:rPr>
              <w:t>Non-urban regions</w:t>
            </w:r>
          </w:p>
        </w:tc>
        <w:tc>
          <w:tcPr>
            <w:tcW w:w="1170" w:type="pct"/>
            <w:tcBorders>
              <w:top w:val="nil"/>
              <w:left w:val="nil"/>
              <w:bottom w:val="single" w:sz="8" w:space="0" w:color="auto"/>
              <w:right w:val="nil"/>
            </w:tcBorders>
            <w:shd w:val="clear" w:color="auto" w:fill="auto"/>
            <w:tcMar>
              <w:top w:w="72" w:type="dxa"/>
              <w:left w:w="144" w:type="dxa"/>
              <w:bottom w:w="72" w:type="dxa"/>
              <w:right w:w="144" w:type="dxa"/>
            </w:tcMar>
            <w:hideMark/>
          </w:tcPr>
          <w:p w14:paraId="5760B5C9" w14:textId="77777777" w:rsidR="005E6822" w:rsidRPr="00471165" w:rsidRDefault="005E6822" w:rsidP="005E6822">
            <w:pPr>
              <w:keepNext/>
              <w:spacing w:line="240" w:lineRule="auto"/>
              <w:jc w:val="left"/>
              <w:rPr>
                <w:rFonts w:ascii="Arial" w:hAnsi="Arial"/>
                <w:szCs w:val="24"/>
                <w:lang w:val="en-GB"/>
              </w:rPr>
            </w:pPr>
          </w:p>
        </w:tc>
        <w:tc>
          <w:tcPr>
            <w:tcW w:w="1844" w:type="pct"/>
            <w:tcBorders>
              <w:top w:val="nil"/>
              <w:left w:val="nil"/>
              <w:bottom w:val="single" w:sz="8" w:space="0" w:color="auto"/>
              <w:right w:val="nil"/>
            </w:tcBorders>
            <w:shd w:val="clear" w:color="auto" w:fill="auto"/>
            <w:tcMar>
              <w:top w:w="72" w:type="dxa"/>
              <w:left w:w="144" w:type="dxa"/>
              <w:bottom w:w="72" w:type="dxa"/>
              <w:right w:w="144" w:type="dxa"/>
            </w:tcMar>
            <w:hideMark/>
          </w:tcPr>
          <w:p w14:paraId="342AB9F0" w14:textId="77777777" w:rsidR="005E6822" w:rsidRPr="00471165" w:rsidRDefault="005E6822" w:rsidP="005E6822">
            <w:pPr>
              <w:keepNext/>
              <w:spacing w:line="240" w:lineRule="auto"/>
              <w:jc w:val="left"/>
              <w:rPr>
                <w:rFonts w:ascii="Arial" w:eastAsiaTheme="minorEastAsia" w:hAnsi="Arial"/>
                <w:szCs w:val="24"/>
                <w:lang w:val="en-GB"/>
              </w:rPr>
            </w:pPr>
            <w:r w:rsidRPr="00471165">
              <w:rPr>
                <w:rFonts w:eastAsiaTheme="minorEastAsia"/>
                <w:szCs w:val="24"/>
                <w:lang w:val="en-GB"/>
              </w:rPr>
              <w:t>Rest of country</w:t>
            </w:r>
          </w:p>
        </w:tc>
        <w:tc>
          <w:tcPr>
            <w:tcW w:w="454" w:type="pct"/>
            <w:tcBorders>
              <w:top w:val="nil"/>
              <w:left w:val="nil"/>
              <w:bottom w:val="single" w:sz="8" w:space="0" w:color="auto"/>
              <w:right w:val="nil"/>
            </w:tcBorders>
            <w:shd w:val="clear" w:color="auto" w:fill="auto"/>
            <w:tcMar>
              <w:top w:w="72" w:type="dxa"/>
              <w:left w:w="144" w:type="dxa"/>
              <w:bottom w:w="72" w:type="dxa"/>
              <w:right w:w="144" w:type="dxa"/>
            </w:tcMar>
            <w:hideMark/>
          </w:tcPr>
          <w:p w14:paraId="662BF577" w14:textId="77777777" w:rsidR="005E6822" w:rsidRPr="00471165" w:rsidRDefault="005E6822" w:rsidP="005E6822">
            <w:pPr>
              <w:keepNext/>
              <w:spacing w:line="240" w:lineRule="auto"/>
              <w:rPr>
                <w:rFonts w:ascii="Arial" w:eastAsiaTheme="minorEastAsia" w:hAnsi="Arial"/>
                <w:szCs w:val="24"/>
                <w:lang w:val="en-GB"/>
              </w:rPr>
            </w:pPr>
            <w:r w:rsidRPr="00471165">
              <w:rPr>
                <w:rFonts w:eastAsiaTheme="minorEastAsia"/>
                <w:szCs w:val="24"/>
                <w:lang w:val="en-GB"/>
              </w:rPr>
              <w:t>1754</w:t>
            </w:r>
          </w:p>
        </w:tc>
        <w:tc>
          <w:tcPr>
            <w:tcW w:w="455" w:type="pct"/>
            <w:tcBorders>
              <w:top w:val="nil"/>
              <w:left w:val="nil"/>
              <w:bottom w:val="single" w:sz="8" w:space="0" w:color="auto"/>
              <w:right w:val="nil"/>
            </w:tcBorders>
            <w:shd w:val="clear" w:color="auto" w:fill="auto"/>
            <w:tcMar>
              <w:top w:w="72" w:type="dxa"/>
              <w:left w:w="144" w:type="dxa"/>
              <w:bottom w:w="72" w:type="dxa"/>
              <w:right w:w="144" w:type="dxa"/>
            </w:tcMar>
            <w:hideMark/>
          </w:tcPr>
          <w:p w14:paraId="3F74C8CC" w14:textId="77777777" w:rsidR="005E6822" w:rsidRPr="00471165" w:rsidRDefault="005E6822" w:rsidP="005E6822">
            <w:pPr>
              <w:keepNext/>
              <w:spacing w:line="240" w:lineRule="auto"/>
              <w:rPr>
                <w:rFonts w:ascii="Arial" w:eastAsiaTheme="minorEastAsia" w:hAnsi="Arial"/>
                <w:szCs w:val="24"/>
                <w:lang w:val="en-GB"/>
              </w:rPr>
            </w:pPr>
            <w:r w:rsidRPr="00471165">
              <w:rPr>
                <w:rFonts w:eastAsiaTheme="minorEastAsia"/>
                <w:szCs w:val="24"/>
                <w:lang w:val="en-GB"/>
              </w:rPr>
              <w:t>1391</w:t>
            </w:r>
          </w:p>
        </w:tc>
        <w:tc>
          <w:tcPr>
            <w:tcW w:w="452" w:type="pct"/>
            <w:tcBorders>
              <w:top w:val="nil"/>
              <w:left w:val="nil"/>
              <w:bottom w:val="single" w:sz="8" w:space="0" w:color="auto"/>
              <w:right w:val="nil"/>
            </w:tcBorders>
            <w:shd w:val="clear" w:color="auto" w:fill="auto"/>
            <w:tcMar>
              <w:top w:w="72" w:type="dxa"/>
              <w:left w:w="144" w:type="dxa"/>
              <w:bottom w:w="72" w:type="dxa"/>
              <w:right w:w="144" w:type="dxa"/>
            </w:tcMar>
            <w:hideMark/>
          </w:tcPr>
          <w:p w14:paraId="7E480988" w14:textId="77777777" w:rsidR="005E6822" w:rsidRPr="00471165" w:rsidRDefault="005E6822" w:rsidP="005E6822">
            <w:pPr>
              <w:keepNext/>
              <w:spacing w:line="240" w:lineRule="auto"/>
              <w:rPr>
                <w:rFonts w:ascii="Arial" w:eastAsiaTheme="minorEastAsia" w:hAnsi="Arial"/>
                <w:szCs w:val="24"/>
                <w:lang w:val="en-GB"/>
              </w:rPr>
            </w:pPr>
            <w:r w:rsidRPr="00471165">
              <w:rPr>
                <w:rFonts w:eastAsiaTheme="minorEastAsia"/>
                <w:szCs w:val="24"/>
                <w:lang w:val="en-GB"/>
              </w:rPr>
              <w:t>1553</w:t>
            </w:r>
          </w:p>
        </w:tc>
      </w:tr>
      <w:tr w:rsidR="005E6822" w:rsidRPr="00471165" w14:paraId="5495013E" w14:textId="77777777" w:rsidTr="005E6822">
        <w:trPr>
          <w:trHeight w:val="584"/>
        </w:trPr>
        <w:tc>
          <w:tcPr>
            <w:tcW w:w="625" w:type="pct"/>
            <w:tcBorders>
              <w:top w:val="single" w:sz="8" w:space="0" w:color="auto"/>
              <w:left w:val="nil"/>
              <w:bottom w:val="single" w:sz="8" w:space="0" w:color="auto"/>
              <w:right w:val="nil"/>
            </w:tcBorders>
            <w:shd w:val="clear" w:color="auto" w:fill="auto"/>
            <w:tcMar>
              <w:top w:w="72" w:type="dxa"/>
              <w:left w:w="144" w:type="dxa"/>
              <w:bottom w:w="72" w:type="dxa"/>
              <w:right w:w="144" w:type="dxa"/>
            </w:tcMar>
            <w:hideMark/>
          </w:tcPr>
          <w:p w14:paraId="74381EF0" w14:textId="77777777" w:rsidR="005E6822" w:rsidRPr="00471165" w:rsidRDefault="005E6822" w:rsidP="005E6822">
            <w:pPr>
              <w:keepNext/>
              <w:spacing w:line="240" w:lineRule="auto"/>
              <w:rPr>
                <w:rFonts w:ascii="Arial" w:eastAsiaTheme="minorEastAsia" w:hAnsi="Arial"/>
                <w:szCs w:val="24"/>
                <w:lang w:val="en-GB"/>
              </w:rPr>
            </w:pPr>
            <w:r w:rsidRPr="00471165">
              <w:rPr>
                <w:rFonts w:eastAsiaTheme="minorEastAsia"/>
                <w:szCs w:val="24"/>
                <w:lang w:val="en-GB"/>
              </w:rPr>
              <w:t>Total</w:t>
            </w:r>
          </w:p>
        </w:tc>
        <w:tc>
          <w:tcPr>
            <w:tcW w:w="1170" w:type="pct"/>
            <w:tcBorders>
              <w:top w:val="single" w:sz="8" w:space="0" w:color="auto"/>
              <w:left w:val="nil"/>
              <w:bottom w:val="single" w:sz="8" w:space="0" w:color="auto"/>
              <w:right w:val="nil"/>
            </w:tcBorders>
            <w:shd w:val="clear" w:color="auto" w:fill="auto"/>
            <w:tcMar>
              <w:top w:w="72" w:type="dxa"/>
              <w:left w:w="144" w:type="dxa"/>
              <w:bottom w:w="72" w:type="dxa"/>
              <w:right w:w="144" w:type="dxa"/>
            </w:tcMar>
            <w:hideMark/>
          </w:tcPr>
          <w:p w14:paraId="2807CB09" w14:textId="77777777" w:rsidR="005E6822" w:rsidRPr="00471165" w:rsidRDefault="005E6822" w:rsidP="005E6822">
            <w:pPr>
              <w:keepNext/>
              <w:spacing w:line="240" w:lineRule="auto"/>
              <w:rPr>
                <w:rFonts w:ascii="Arial" w:hAnsi="Arial"/>
                <w:szCs w:val="24"/>
                <w:lang w:val="en-GB"/>
              </w:rPr>
            </w:pPr>
          </w:p>
        </w:tc>
        <w:tc>
          <w:tcPr>
            <w:tcW w:w="1844" w:type="pct"/>
            <w:tcBorders>
              <w:top w:val="single" w:sz="8" w:space="0" w:color="auto"/>
              <w:left w:val="nil"/>
              <w:bottom w:val="single" w:sz="8" w:space="0" w:color="auto"/>
              <w:right w:val="nil"/>
            </w:tcBorders>
            <w:shd w:val="clear" w:color="auto" w:fill="auto"/>
            <w:tcMar>
              <w:top w:w="72" w:type="dxa"/>
              <w:left w:w="144" w:type="dxa"/>
              <w:bottom w:w="72" w:type="dxa"/>
              <w:right w:w="144" w:type="dxa"/>
            </w:tcMar>
            <w:hideMark/>
          </w:tcPr>
          <w:p w14:paraId="4E04D6D6" w14:textId="77777777" w:rsidR="005E6822" w:rsidRPr="00471165" w:rsidRDefault="005E6822" w:rsidP="005E6822">
            <w:pPr>
              <w:keepNext/>
              <w:spacing w:line="240" w:lineRule="auto"/>
              <w:rPr>
                <w:rFonts w:ascii="Arial" w:hAnsi="Arial"/>
                <w:szCs w:val="24"/>
                <w:lang w:val="en-GB"/>
              </w:rPr>
            </w:pPr>
          </w:p>
        </w:tc>
        <w:tc>
          <w:tcPr>
            <w:tcW w:w="454" w:type="pct"/>
            <w:tcBorders>
              <w:top w:val="single" w:sz="8" w:space="0" w:color="auto"/>
              <w:left w:val="nil"/>
              <w:bottom w:val="single" w:sz="8" w:space="0" w:color="auto"/>
              <w:right w:val="nil"/>
            </w:tcBorders>
            <w:shd w:val="clear" w:color="auto" w:fill="auto"/>
            <w:tcMar>
              <w:top w:w="72" w:type="dxa"/>
              <w:left w:w="144" w:type="dxa"/>
              <w:bottom w:w="72" w:type="dxa"/>
              <w:right w:w="144" w:type="dxa"/>
            </w:tcMar>
            <w:hideMark/>
          </w:tcPr>
          <w:p w14:paraId="2AB29CEC" w14:textId="77777777" w:rsidR="005E6822" w:rsidRPr="00471165" w:rsidRDefault="005E6822" w:rsidP="005E6822">
            <w:pPr>
              <w:keepNext/>
              <w:spacing w:line="240" w:lineRule="auto"/>
              <w:rPr>
                <w:rFonts w:ascii="Arial" w:eastAsiaTheme="minorEastAsia" w:hAnsi="Arial"/>
                <w:szCs w:val="24"/>
                <w:lang w:val="en-GB"/>
              </w:rPr>
            </w:pPr>
            <w:r w:rsidRPr="00471165">
              <w:rPr>
                <w:rFonts w:eastAsiaTheme="minorEastAsia"/>
                <w:szCs w:val="24"/>
                <w:lang w:val="en-GB"/>
              </w:rPr>
              <w:t>6412</w:t>
            </w:r>
          </w:p>
        </w:tc>
        <w:tc>
          <w:tcPr>
            <w:tcW w:w="455" w:type="pct"/>
            <w:tcBorders>
              <w:top w:val="single" w:sz="8" w:space="0" w:color="auto"/>
              <w:left w:val="nil"/>
              <w:bottom w:val="single" w:sz="8" w:space="0" w:color="auto"/>
              <w:right w:val="nil"/>
            </w:tcBorders>
            <w:shd w:val="clear" w:color="auto" w:fill="auto"/>
            <w:tcMar>
              <w:top w:w="72" w:type="dxa"/>
              <w:left w:w="144" w:type="dxa"/>
              <w:bottom w:w="72" w:type="dxa"/>
              <w:right w:w="144" w:type="dxa"/>
            </w:tcMar>
            <w:hideMark/>
          </w:tcPr>
          <w:p w14:paraId="213AC0A9" w14:textId="77777777" w:rsidR="005E6822" w:rsidRPr="00471165" w:rsidRDefault="005E6822" w:rsidP="005E6822">
            <w:pPr>
              <w:keepNext/>
              <w:spacing w:line="240" w:lineRule="auto"/>
              <w:rPr>
                <w:rFonts w:ascii="Arial" w:eastAsiaTheme="minorEastAsia" w:hAnsi="Arial"/>
                <w:szCs w:val="24"/>
                <w:lang w:val="en-GB"/>
              </w:rPr>
            </w:pPr>
            <w:r w:rsidRPr="00471165">
              <w:rPr>
                <w:rFonts w:eastAsiaTheme="minorEastAsia"/>
                <w:szCs w:val="24"/>
                <w:lang w:val="en-GB"/>
              </w:rPr>
              <w:t>5980</w:t>
            </w:r>
          </w:p>
        </w:tc>
        <w:tc>
          <w:tcPr>
            <w:tcW w:w="452" w:type="pct"/>
            <w:tcBorders>
              <w:top w:val="single" w:sz="8" w:space="0" w:color="auto"/>
              <w:left w:val="nil"/>
              <w:bottom w:val="single" w:sz="8" w:space="0" w:color="auto"/>
              <w:right w:val="nil"/>
            </w:tcBorders>
            <w:shd w:val="clear" w:color="auto" w:fill="auto"/>
            <w:tcMar>
              <w:top w:w="72" w:type="dxa"/>
              <w:left w:w="144" w:type="dxa"/>
              <w:bottom w:w="72" w:type="dxa"/>
              <w:right w:w="144" w:type="dxa"/>
            </w:tcMar>
            <w:hideMark/>
          </w:tcPr>
          <w:p w14:paraId="65FDCC57" w14:textId="77777777" w:rsidR="005E6822" w:rsidRPr="00471165" w:rsidRDefault="005E6822" w:rsidP="005E6822">
            <w:pPr>
              <w:keepNext/>
              <w:spacing w:line="240" w:lineRule="auto"/>
              <w:rPr>
                <w:rFonts w:ascii="Arial" w:eastAsiaTheme="minorEastAsia" w:hAnsi="Arial"/>
                <w:szCs w:val="24"/>
                <w:lang w:val="en-GB"/>
              </w:rPr>
            </w:pPr>
            <w:r w:rsidRPr="00471165">
              <w:rPr>
                <w:rFonts w:eastAsiaTheme="minorEastAsia"/>
                <w:szCs w:val="24"/>
                <w:lang w:val="en-GB"/>
              </w:rPr>
              <w:t>6532</w:t>
            </w:r>
          </w:p>
        </w:tc>
      </w:tr>
    </w:tbl>
    <w:p w14:paraId="2C29B0F8" w14:textId="77777777" w:rsidR="004B3AB5" w:rsidRPr="000050B8" w:rsidRDefault="004B3AB5" w:rsidP="00C43B94">
      <w:pPr>
        <w:spacing w:line="480" w:lineRule="auto"/>
        <w:rPr>
          <w:rFonts w:eastAsiaTheme="minorEastAsia"/>
          <w:szCs w:val="24"/>
          <w:lang w:val="en-GB"/>
        </w:rPr>
      </w:pPr>
    </w:p>
    <w:p w14:paraId="59521F78" w14:textId="0A699E0F" w:rsidR="004B3AB5" w:rsidRPr="000050B8" w:rsidRDefault="004B3AB5" w:rsidP="00C43B94">
      <w:pPr>
        <w:spacing w:line="480" w:lineRule="auto"/>
        <w:rPr>
          <w:rFonts w:eastAsiaTheme="minorEastAsia"/>
          <w:szCs w:val="24"/>
          <w:lang w:val="en-GB"/>
        </w:rPr>
      </w:pPr>
      <w:r w:rsidRPr="000050B8">
        <w:rPr>
          <w:rFonts w:eastAsiaTheme="minorEastAsia"/>
          <w:szCs w:val="24"/>
          <w:lang w:val="en-GB"/>
        </w:rPr>
        <w:t xml:space="preserve">Regions are </w:t>
      </w:r>
      <w:r>
        <w:rPr>
          <w:rFonts w:eastAsiaTheme="minorEastAsia"/>
          <w:szCs w:val="24"/>
          <w:lang w:val="en-GB"/>
        </w:rPr>
        <w:t>defined</w:t>
      </w:r>
      <w:r w:rsidRPr="000050B8">
        <w:rPr>
          <w:rFonts w:eastAsiaTheme="minorEastAsia"/>
          <w:szCs w:val="24"/>
          <w:lang w:val="en-GB"/>
        </w:rPr>
        <w:t xml:space="preserve"> at the level of economic regions, as </w:t>
      </w:r>
      <w:r>
        <w:rPr>
          <w:rFonts w:eastAsiaTheme="minorEastAsia"/>
          <w:szCs w:val="24"/>
          <w:lang w:val="en-GB"/>
        </w:rPr>
        <w:t>classified</w:t>
      </w:r>
      <w:r w:rsidRPr="000050B8">
        <w:rPr>
          <w:rFonts w:eastAsiaTheme="minorEastAsia"/>
          <w:szCs w:val="24"/>
          <w:lang w:val="en-GB"/>
        </w:rPr>
        <w:t xml:space="preserve"> by Statistics Norway. These are regions at the NUTS4 level and correspond in most cases to functional economic regions. The categorisation of different regions is based on </w:t>
      </w:r>
      <w:proofErr w:type="spellStart"/>
      <w:r w:rsidRPr="000050B8">
        <w:rPr>
          <w:rFonts w:eastAsiaTheme="minorEastAsia"/>
          <w:szCs w:val="24"/>
          <w:lang w:val="en-GB"/>
        </w:rPr>
        <w:t>Gundersen</w:t>
      </w:r>
      <w:proofErr w:type="spellEnd"/>
      <w:r w:rsidRPr="000050B8">
        <w:rPr>
          <w:rFonts w:eastAsiaTheme="minorEastAsia"/>
          <w:szCs w:val="24"/>
          <w:lang w:val="en-GB"/>
        </w:rPr>
        <w:t xml:space="preserve"> and </w:t>
      </w:r>
      <w:proofErr w:type="spellStart"/>
      <w:r w:rsidRPr="000050B8">
        <w:rPr>
          <w:rFonts w:eastAsiaTheme="minorEastAsia"/>
          <w:szCs w:val="24"/>
          <w:lang w:val="en-GB"/>
        </w:rPr>
        <w:t>Juvkam</w:t>
      </w:r>
      <w:proofErr w:type="spellEnd"/>
      <w:r w:rsidRPr="000050B8">
        <w:rPr>
          <w:rFonts w:eastAsiaTheme="minorEastAsia"/>
          <w:szCs w:val="24"/>
          <w:lang w:val="en-GB"/>
        </w:rPr>
        <w:t xml:space="preserve"> (2013), who developed a hierarchy of region sizes based on urban population and the level of services in each region. We also merge regions that are functionally integrated into the same </w:t>
      </w:r>
      <w:proofErr w:type="spellStart"/>
      <w:r>
        <w:rPr>
          <w:rFonts w:eastAsiaTheme="minorEastAsia"/>
          <w:szCs w:val="24"/>
          <w:lang w:val="en-GB"/>
        </w:rPr>
        <w:t>labor</w:t>
      </w:r>
      <w:proofErr w:type="spellEnd"/>
      <w:r w:rsidRPr="000050B8">
        <w:rPr>
          <w:rFonts w:eastAsiaTheme="minorEastAsia"/>
          <w:szCs w:val="24"/>
          <w:lang w:val="en-GB"/>
        </w:rPr>
        <w:t xml:space="preserve"> market based on </w:t>
      </w:r>
      <w:proofErr w:type="spellStart"/>
      <w:r w:rsidRPr="000050B8">
        <w:rPr>
          <w:rFonts w:eastAsiaTheme="minorEastAsia"/>
          <w:szCs w:val="24"/>
          <w:lang w:val="en-GB"/>
        </w:rPr>
        <w:t>Gundersen</w:t>
      </w:r>
      <w:proofErr w:type="spellEnd"/>
      <w:r w:rsidRPr="000050B8">
        <w:rPr>
          <w:rFonts w:eastAsiaTheme="minorEastAsia"/>
          <w:szCs w:val="24"/>
          <w:lang w:val="en-GB"/>
        </w:rPr>
        <w:t xml:space="preserve"> and </w:t>
      </w:r>
      <w:proofErr w:type="spellStart"/>
      <w:r w:rsidRPr="000050B8">
        <w:rPr>
          <w:rFonts w:eastAsiaTheme="minorEastAsia"/>
          <w:szCs w:val="24"/>
          <w:lang w:val="en-GB"/>
        </w:rPr>
        <w:t>Juvkam</w:t>
      </w:r>
      <w:proofErr w:type="spellEnd"/>
      <w:r w:rsidRPr="000050B8">
        <w:rPr>
          <w:rFonts w:eastAsiaTheme="minorEastAsia"/>
          <w:szCs w:val="24"/>
          <w:lang w:val="en-GB"/>
        </w:rPr>
        <w:t xml:space="preserve"> (2013). This division of economic regions is becoming well-established in Norway and has already been used in previous studies </w:t>
      </w:r>
      <w:r>
        <w:rPr>
          <w:rFonts w:eastAsiaTheme="minorEastAsia"/>
          <w:szCs w:val="24"/>
          <w:lang w:val="en-GB"/>
        </w:rPr>
        <w:t>of</w:t>
      </w:r>
      <w:r w:rsidRPr="000050B8">
        <w:rPr>
          <w:rFonts w:eastAsiaTheme="minorEastAsia"/>
          <w:szCs w:val="24"/>
          <w:lang w:val="en-GB"/>
        </w:rPr>
        <w:t xml:space="preserve"> </w:t>
      </w:r>
      <w:r>
        <w:rPr>
          <w:rFonts w:eastAsiaTheme="minorEastAsia"/>
          <w:szCs w:val="24"/>
          <w:lang w:val="en-GB"/>
        </w:rPr>
        <w:t>how</w:t>
      </w:r>
      <w:r w:rsidRPr="000050B8">
        <w:rPr>
          <w:rFonts w:eastAsiaTheme="minorEastAsia"/>
          <w:szCs w:val="24"/>
          <w:lang w:val="en-GB"/>
        </w:rPr>
        <w:t xml:space="preserve"> the geographical location of firms </w:t>
      </w:r>
      <w:r>
        <w:rPr>
          <w:rFonts w:eastAsiaTheme="minorEastAsia"/>
          <w:szCs w:val="24"/>
          <w:lang w:val="en-GB"/>
        </w:rPr>
        <w:t>affects</w:t>
      </w:r>
      <w:r w:rsidRPr="000050B8">
        <w:rPr>
          <w:rFonts w:eastAsiaTheme="minorEastAsia"/>
          <w:szCs w:val="24"/>
          <w:lang w:val="en-GB"/>
        </w:rPr>
        <w:t xml:space="preserve"> innovation (e.g. Herstad </w:t>
      </w:r>
      <w:r w:rsidR="00113910">
        <w:rPr>
          <w:rFonts w:eastAsiaTheme="minorEastAsia"/>
          <w:szCs w:val="24"/>
          <w:lang w:val="en-GB"/>
        </w:rPr>
        <w:t>&amp;</w:t>
      </w:r>
      <w:r w:rsidR="00113910" w:rsidRPr="000050B8">
        <w:rPr>
          <w:rFonts w:eastAsiaTheme="minorEastAsia"/>
          <w:szCs w:val="24"/>
          <w:lang w:val="en-GB"/>
        </w:rPr>
        <w:t xml:space="preserve"> </w:t>
      </w:r>
      <w:r w:rsidRPr="000050B8">
        <w:rPr>
          <w:rFonts w:eastAsiaTheme="minorEastAsia"/>
          <w:szCs w:val="24"/>
          <w:lang w:val="en-GB"/>
        </w:rPr>
        <w:t>Ebersberger</w:t>
      </w:r>
      <w:r w:rsidR="00113910">
        <w:rPr>
          <w:rFonts w:eastAsiaTheme="minorEastAsia"/>
          <w:szCs w:val="24"/>
          <w:lang w:val="en-GB"/>
        </w:rPr>
        <w:t>,</w:t>
      </w:r>
      <w:r w:rsidRPr="000050B8">
        <w:rPr>
          <w:rFonts w:eastAsiaTheme="minorEastAsia"/>
          <w:szCs w:val="24"/>
          <w:lang w:val="en-GB"/>
        </w:rPr>
        <w:t xml:space="preserve"> 2015; Aarstad</w:t>
      </w:r>
      <w:r w:rsidR="00113910">
        <w:rPr>
          <w:rFonts w:eastAsiaTheme="minorEastAsia"/>
          <w:szCs w:val="24"/>
          <w:lang w:val="en-GB"/>
        </w:rPr>
        <w:t xml:space="preserve">, </w:t>
      </w:r>
      <w:proofErr w:type="spellStart"/>
      <w:r w:rsidR="00113910">
        <w:rPr>
          <w:rFonts w:eastAsiaTheme="minorEastAsia"/>
          <w:szCs w:val="24"/>
          <w:lang w:val="en-GB"/>
        </w:rPr>
        <w:t>Kvitastein</w:t>
      </w:r>
      <w:proofErr w:type="spellEnd"/>
      <w:r w:rsidR="00113910">
        <w:rPr>
          <w:rFonts w:eastAsiaTheme="minorEastAsia"/>
          <w:szCs w:val="24"/>
          <w:lang w:val="en-GB"/>
        </w:rPr>
        <w:t>, &amp; Jakobsen,</w:t>
      </w:r>
      <w:r w:rsidRPr="000050B8">
        <w:rPr>
          <w:rFonts w:eastAsiaTheme="minorEastAsia"/>
          <w:szCs w:val="24"/>
          <w:lang w:val="en-GB"/>
        </w:rPr>
        <w:t xml:space="preserve"> 2016; Fitjar </w:t>
      </w:r>
      <w:r w:rsidR="00113910">
        <w:rPr>
          <w:rFonts w:eastAsiaTheme="minorEastAsia"/>
          <w:szCs w:val="24"/>
          <w:lang w:val="en-GB"/>
        </w:rPr>
        <w:t>&amp;</w:t>
      </w:r>
      <w:r w:rsidR="00113910" w:rsidRPr="000050B8">
        <w:rPr>
          <w:rFonts w:eastAsiaTheme="minorEastAsia"/>
          <w:szCs w:val="24"/>
          <w:lang w:val="en-GB"/>
        </w:rPr>
        <w:t xml:space="preserve"> </w:t>
      </w:r>
      <w:r w:rsidRPr="000050B8">
        <w:rPr>
          <w:rFonts w:eastAsiaTheme="minorEastAsia"/>
          <w:szCs w:val="24"/>
          <w:lang w:val="en-GB"/>
        </w:rPr>
        <w:t>Timmermans</w:t>
      </w:r>
      <w:r w:rsidR="00113910">
        <w:rPr>
          <w:rFonts w:eastAsiaTheme="minorEastAsia"/>
          <w:szCs w:val="24"/>
          <w:lang w:val="en-GB"/>
        </w:rPr>
        <w:t>,</w:t>
      </w:r>
      <w:r w:rsidRPr="000050B8">
        <w:rPr>
          <w:rFonts w:eastAsiaTheme="minorEastAsia"/>
          <w:szCs w:val="24"/>
          <w:lang w:val="en-GB"/>
        </w:rPr>
        <w:t xml:space="preserve"> 2017).</w:t>
      </w:r>
    </w:p>
    <w:p w14:paraId="7D289551" w14:textId="10E15435" w:rsidR="004B3AB5" w:rsidRPr="000050B8" w:rsidRDefault="004B3AB5" w:rsidP="00C43B94">
      <w:pPr>
        <w:spacing w:line="480" w:lineRule="auto"/>
        <w:rPr>
          <w:rFonts w:eastAsiaTheme="minorEastAsia"/>
          <w:szCs w:val="24"/>
          <w:lang w:val="en-GB"/>
        </w:rPr>
      </w:pPr>
      <w:r>
        <w:rPr>
          <w:rFonts w:eastAsiaTheme="minorEastAsia"/>
          <w:szCs w:val="24"/>
          <w:lang w:val="en-GB"/>
        </w:rPr>
        <w:lastRenderedPageBreak/>
        <w:t>T</w:t>
      </w:r>
      <w:r w:rsidRPr="000050B8">
        <w:rPr>
          <w:rFonts w:eastAsiaTheme="minorEastAsia"/>
          <w:szCs w:val="24"/>
          <w:lang w:val="en-GB"/>
        </w:rPr>
        <w:t>he CIS itself</w:t>
      </w:r>
      <w:r>
        <w:rPr>
          <w:rFonts w:eastAsiaTheme="minorEastAsia"/>
          <w:szCs w:val="24"/>
          <w:lang w:val="en-GB"/>
        </w:rPr>
        <w:t xml:space="preserve"> uses</w:t>
      </w:r>
      <w:r w:rsidRPr="000050B8">
        <w:rPr>
          <w:rFonts w:eastAsiaTheme="minorEastAsia"/>
          <w:szCs w:val="24"/>
          <w:lang w:val="en-GB"/>
        </w:rPr>
        <w:t xml:space="preserve"> firms’ official corporate addresses to identify the firm’s location. For multi-plant firms, this can be misleading, especially </w:t>
      </w:r>
      <w:r>
        <w:rPr>
          <w:rFonts w:eastAsiaTheme="minorEastAsia"/>
          <w:szCs w:val="24"/>
          <w:lang w:val="en-GB"/>
        </w:rPr>
        <w:t>in</w:t>
      </w:r>
      <w:r w:rsidRPr="000050B8">
        <w:rPr>
          <w:rFonts w:eastAsiaTheme="minorEastAsia"/>
          <w:szCs w:val="24"/>
          <w:lang w:val="en-GB"/>
        </w:rPr>
        <w:t xml:space="preserve"> a study of urban vs. </w:t>
      </w:r>
      <w:r>
        <w:rPr>
          <w:rFonts w:eastAsiaTheme="minorEastAsia"/>
          <w:szCs w:val="24"/>
          <w:lang w:val="en-GB"/>
        </w:rPr>
        <w:t>rural</w:t>
      </w:r>
      <w:r w:rsidRPr="000050B8">
        <w:rPr>
          <w:rFonts w:eastAsiaTheme="minorEastAsia"/>
          <w:szCs w:val="24"/>
          <w:lang w:val="en-GB"/>
        </w:rPr>
        <w:t xml:space="preserve"> location. Some firms have their corporate headquarters and official address in one place (often a large city), but most of the actual production and employment take place somewhere else (e.g. in more peripheral locations). In order to account for this, we draw on linked employer-employee data from tax registers to identify the location of each firm’s main activities as measured by the size of the workforce. </w:t>
      </w:r>
      <w:r>
        <w:rPr>
          <w:rFonts w:eastAsiaTheme="minorEastAsia"/>
          <w:szCs w:val="24"/>
          <w:lang w:val="en-GB"/>
        </w:rPr>
        <w:t>W</w:t>
      </w:r>
      <w:r w:rsidRPr="000050B8">
        <w:rPr>
          <w:rFonts w:eastAsiaTheme="minorEastAsia"/>
          <w:szCs w:val="24"/>
          <w:lang w:val="en-GB"/>
        </w:rPr>
        <w:t xml:space="preserve">e use the municipality listed as the workplace of the largest number of employees as the actual location of </w:t>
      </w:r>
      <w:r>
        <w:rPr>
          <w:rFonts w:eastAsiaTheme="minorEastAsia"/>
          <w:szCs w:val="24"/>
          <w:lang w:val="en-GB"/>
        </w:rPr>
        <w:t>each</w:t>
      </w:r>
      <w:r w:rsidRPr="000050B8">
        <w:rPr>
          <w:rFonts w:eastAsiaTheme="minorEastAsia"/>
          <w:szCs w:val="24"/>
          <w:lang w:val="en-GB"/>
        </w:rPr>
        <w:t xml:space="preserve"> firm.</w:t>
      </w:r>
    </w:p>
    <w:p w14:paraId="5DA2C594" w14:textId="108703A8" w:rsidR="004B3AB5" w:rsidRPr="000050B8" w:rsidRDefault="004B3AB5" w:rsidP="00C43B94">
      <w:pPr>
        <w:spacing w:line="480" w:lineRule="auto"/>
        <w:rPr>
          <w:lang w:val="en-GB"/>
        </w:rPr>
      </w:pPr>
      <w:r w:rsidRPr="000050B8">
        <w:rPr>
          <w:lang w:val="en-GB"/>
        </w:rPr>
        <w:t xml:space="preserve">Four main control variables are included in the analysis. </w:t>
      </w:r>
      <w:r w:rsidRPr="000050B8">
        <w:rPr>
          <w:i/>
          <w:lang w:val="en-GB"/>
        </w:rPr>
        <w:t>R&amp;D Expenditure</w:t>
      </w:r>
      <w:r w:rsidRPr="000050B8">
        <w:rPr>
          <w:lang w:val="en-GB"/>
        </w:rPr>
        <w:t xml:space="preserve"> is the total amount spent on internal research and development activities by the firm in the year of the survey, and is drawn from the CIS. </w:t>
      </w:r>
      <w:r w:rsidRPr="000050B8">
        <w:rPr>
          <w:i/>
          <w:lang w:val="en-GB"/>
        </w:rPr>
        <w:t>Number of employees</w:t>
      </w:r>
      <w:r w:rsidRPr="000050B8">
        <w:rPr>
          <w:lang w:val="en-GB"/>
        </w:rPr>
        <w:t xml:space="preserve"> is the number of full-time employees in the firm. This is a count of people employed in the firm in the year of the survey, based on linked employer-employee data from tax registers. </w:t>
      </w:r>
      <w:r w:rsidRPr="000050B8">
        <w:rPr>
          <w:i/>
          <w:lang w:val="en-GB"/>
        </w:rPr>
        <w:t>Share of educated employees</w:t>
      </w:r>
      <w:r w:rsidRPr="000050B8">
        <w:rPr>
          <w:lang w:val="en-GB"/>
        </w:rPr>
        <w:t xml:space="preserve"> is the percentage of the firm’s workers who have completed a tertiary education degree. This variable is again based on linked employer-employee data, with information on each employee</w:t>
      </w:r>
      <w:r>
        <w:rPr>
          <w:lang w:val="en-GB"/>
        </w:rPr>
        <w:t>’s education level</w:t>
      </w:r>
      <w:r w:rsidRPr="000050B8">
        <w:rPr>
          <w:lang w:val="en-GB"/>
        </w:rPr>
        <w:t xml:space="preserve"> drawn from the Norwegian education database. This is an official register used by the universities and the student loan authorities. The database includes education at Norwegian universities only, which could underestimate education levels at some firms. As all these three variables are highly skewed, we log-transform them using the natural logarithm. For R&amp;D expenditure and share of educated employees, a constant of 1 was added before log-transforming as several firms had values of 0 on these variables. Appendix Table A.2 shows means, standard deviations, and pairwise correlations between the variables. Finally, </w:t>
      </w:r>
      <w:r w:rsidRPr="000050B8">
        <w:rPr>
          <w:i/>
          <w:lang w:val="en-GB"/>
        </w:rPr>
        <w:t>industry</w:t>
      </w:r>
      <w:r w:rsidRPr="000050B8">
        <w:rPr>
          <w:lang w:val="en-GB"/>
        </w:rPr>
        <w:t xml:space="preserve"> is a set of dummy variables for the two-digit NACE industry of the firm, included as fixed effects. In total, </w:t>
      </w:r>
      <w:r>
        <w:rPr>
          <w:lang w:val="en-GB"/>
        </w:rPr>
        <w:t xml:space="preserve">the data contains </w:t>
      </w:r>
      <w:r w:rsidRPr="000050B8">
        <w:rPr>
          <w:lang w:val="en-GB"/>
        </w:rPr>
        <w:t>58 different two-digit industries. Appendix Table A.3 shows the composition of the sample by location and industry category (one-digit).</w:t>
      </w:r>
    </w:p>
    <w:p w14:paraId="16D6F19D" w14:textId="77777777" w:rsidR="004B3AB5" w:rsidRPr="000050B8" w:rsidRDefault="004B3AB5" w:rsidP="00C43B94">
      <w:pPr>
        <w:spacing w:line="480" w:lineRule="auto"/>
        <w:rPr>
          <w:lang w:val="en-GB"/>
        </w:rPr>
      </w:pPr>
    </w:p>
    <w:p w14:paraId="5EFEB07C" w14:textId="1B98A4C4" w:rsidR="004B3AB5" w:rsidRPr="00EB63F1" w:rsidRDefault="004B3AB5" w:rsidP="00EB63F1">
      <w:pPr>
        <w:pStyle w:val="Heading2"/>
        <w:numPr>
          <w:ilvl w:val="0"/>
          <w:numId w:val="1"/>
        </w:numPr>
        <w:spacing w:line="480" w:lineRule="auto"/>
        <w:rPr>
          <w:caps/>
          <w:sz w:val="28"/>
          <w:lang w:val="en-GB"/>
        </w:rPr>
      </w:pPr>
      <w:r w:rsidRPr="00EB63F1">
        <w:rPr>
          <w:caps/>
          <w:sz w:val="28"/>
          <w:lang w:val="en-GB"/>
        </w:rPr>
        <w:t>Results</w:t>
      </w:r>
    </w:p>
    <w:p w14:paraId="6BC570CB" w14:textId="4BE948D8" w:rsidR="004B3AB5" w:rsidRPr="000050B8" w:rsidRDefault="004B3AB5" w:rsidP="00C43B94">
      <w:pPr>
        <w:spacing w:line="480" w:lineRule="auto"/>
        <w:rPr>
          <w:lang w:val="en-GB"/>
        </w:rPr>
      </w:pPr>
      <w:r w:rsidRPr="000050B8">
        <w:rPr>
          <w:lang w:val="en-GB"/>
        </w:rPr>
        <w:t xml:space="preserve">In order to </w:t>
      </w:r>
      <w:r>
        <w:rPr>
          <w:lang w:val="en-GB"/>
        </w:rPr>
        <w:t>examine the relationship between collaboration, location and innovation</w:t>
      </w:r>
      <w:r w:rsidRPr="000050B8">
        <w:rPr>
          <w:lang w:val="en-GB"/>
        </w:rPr>
        <w:t>, we fit a logit regression model to the data. The model takes the following form:</w:t>
      </w:r>
    </w:p>
    <w:p w14:paraId="77E8EBDA" w14:textId="77777777" w:rsidR="004B3AB5" w:rsidRPr="00EB63F1" w:rsidRDefault="004B3AB5" w:rsidP="00C43B94">
      <w:pPr>
        <w:tabs>
          <w:tab w:val="left" w:pos="8647"/>
        </w:tabs>
        <w:spacing w:line="480" w:lineRule="auto"/>
        <w:jc w:val="left"/>
        <w:rPr>
          <w:lang w:val="en-GB"/>
        </w:rPr>
      </w:pPr>
      <w:r w:rsidRPr="00EB63F1">
        <w:rPr>
          <w:lang w:val="en-GB"/>
        </w:rPr>
        <w:t>logit(</w:t>
      </w:r>
      <w:proofErr w:type="spellStart"/>
      <w:r w:rsidRPr="00EB63F1">
        <w:rPr>
          <w:lang w:val="en-GB"/>
        </w:rPr>
        <w:t>Innovation</w:t>
      </w:r>
      <w:r w:rsidRPr="00EB63F1">
        <w:rPr>
          <w:vertAlign w:val="subscript"/>
          <w:lang w:val="en-GB"/>
        </w:rPr>
        <w:t>i,t</w:t>
      </w:r>
      <w:proofErr w:type="spellEnd"/>
      <w:r w:rsidRPr="00EB63F1">
        <w:rPr>
          <w:lang w:val="en-GB"/>
        </w:rPr>
        <w:t xml:space="preserve">) = </w:t>
      </w:r>
      <w:r w:rsidRPr="000050B8">
        <w:rPr>
          <w:lang w:val="en-GB"/>
        </w:rPr>
        <w:t>α</w:t>
      </w:r>
      <w:r w:rsidRPr="00EB63F1">
        <w:rPr>
          <w:lang w:val="en-GB"/>
        </w:rPr>
        <w:t xml:space="preserve"> + </w:t>
      </w:r>
      <w:r w:rsidRPr="000050B8">
        <w:rPr>
          <w:lang w:val="en-GB"/>
        </w:rPr>
        <w:t>β</w:t>
      </w:r>
      <w:r w:rsidRPr="00EB63F1">
        <w:rPr>
          <w:vertAlign w:val="subscript"/>
          <w:lang w:val="en-GB"/>
        </w:rPr>
        <w:t>1</w:t>
      </w:r>
      <w:r w:rsidRPr="00EB63F1">
        <w:rPr>
          <w:lang w:val="en-GB"/>
        </w:rPr>
        <w:t xml:space="preserve"> </w:t>
      </w:r>
      <w:r w:rsidRPr="00EB63F1">
        <w:rPr>
          <w:b/>
          <w:lang w:val="en-GB"/>
        </w:rPr>
        <w:t>Partners</w:t>
      </w:r>
      <w:r w:rsidRPr="00EB63F1">
        <w:rPr>
          <w:vertAlign w:val="subscript"/>
          <w:lang w:val="en-GB"/>
        </w:rPr>
        <w:t>i,t-1</w:t>
      </w:r>
      <w:r w:rsidRPr="00EB63F1">
        <w:rPr>
          <w:lang w:val="en-GB"/>
        </w:rPr>
        <w:t xml:space="preserve"> + </w:t>
      </w:r>
      <w:r w:rsidRPr="000050B8">
        <w:rPr>
          <w:lang w:val="en-GB"/>
        </w:rPr>
        <w:t>β</w:t>
      </w:r>
      <w:r w:rsidRPr="00EB63F1">
        <w:rPr>
          <w:vertAlign w:val="subscript"/>
          <w:lang w:val="en-GB"/>
        </w:rPr>
        <w:t>2</w:t>
      </w:r>
      <w:r w:rsidRPr="00EB63F1">
        <w:rPr>
          <w:lang w:val="en-GB"/>
        </w:rPr>
        <w:t xml:space="preserve"> </w:t>
      </w:r>
      <w:r w:rsidRPr="00EB63F1">
        <w:rPr>
          <w:b/>
          <w:lang w:val="en-GB"/>
        </w:rPr>
        <w:t>Location</w:t>
      </w:r>
      <w:r w:rsidRPr="00EB63F1">
        <w:rPr>
          <w:vertAlign w:val="subscript"/>
          <w:lang w:val="en-GB"/>
        </w:rPr>
        <w:t>i,t-1</w:t>
      </w:r>
      <w:r w:rsidRPr="00EB63F1">
        <w:rPr>
          <w:lang w:val="en-GB"/>
        </w:rPr>
        <w:t xml:space="preserve"> + </w:t>
      </w:r>
      <w:r w:rsidRPr="000050B8">
        <w:rPr>
          <w:lang w:val="en-GB"/>
        </w:rPr>
        <w:t>β</w:t>
      </w:r>
      <w:r w:rsidRPr="00EB63F1">
        <w:rPr>
          <w:vertAlign w:val="subscript"/>
          <w:lang w:val="en-GB"/>
        </w:rPr>
        <w:t>3</w:t>
      </w:r>
      <w:r w:rsidRPr="00EB63F1">
        <w:rPr>
          <w:lang w:val="en-GB"/>
        </w:rPr>
        <w:t xml:space="preserve"> </w:t>
      </w:r>
      <w:r w:rsidRPr="00EB63F1">
        <w:rPr>
          <w:b/>
          <w:lang w:val="en-GB"/>
        </w:rPr>
        <w:t>Controls</w:t>
      </w:r>
      <w:r w:rsidRPr="00EB63F1">
        <w:rPr>
          <w:vertAlign w:val="subscript"/>
          <w:lang w:val="en-GB"/>
        </w:rPr>
        <w:t>i,t-1</w:t>
      </w:r>
      <w:r w:rsidRPr="00EB63F1">
        <w:rPr>
          <w:lang w:val="en-GB"/>
        </w:rPr>
        <w:t xml:space="preserve"> + </w:t>
      </w:r>
      <w:r w:rsidRPr="000050B8">
        <w:rPr>
          <w:lang w:val="en-GB"/>
        </w:rPr>
        <w:t>β</w:t>
      </w:r>
      <w:r w:rsidRPr="00EB63F1">
        <w:rPr>
          <w:vertAlign w:val="subscript"/>
          <w:lang w:val="en-GB"/>
        </w:rPr>
        <w:t>4</w:t>
      </w:r>
      <w:r w:rsidRPr="00EB63F1">
        <w:rPr>
          <w:lang w:val="en-GB"/>
        </w:rPr>
        <w:t xml:space="preserve"> (t-1) + </w:t>
      </w:r>
      <w:proofErr w:type="spellStart"/>
      <w:r w:rsidRPr="000050B8">
        <w:rPr>
          <w:lang w:val="en-GB"/>
        </w:rPr>
        <w:t>ε</w:t>
      </w:r>
      <w:r w:rsidRPr="00EB63F1">
        <w:rPr>
          <w:vertAlign w:val="subscript"/>
          <w:lang w:val="en-GB"/>
        </w:rPr>
        <w:t>it</w:t>
      </w:r>
      <w:proofErr w:type="spellEnd"/>
      <w:r w:rsidRPr="00EB63F1">
        <w:rPr>
          <w:vertAlign w:val="subscript"/>
          <w:lang w:val="en-GB"/>
        </w:rPr>
        <w:tab/>
      </w:r>
      <w:r w:rsidRPr="00EB63F1">
        <w:rPr>
          <w:lang w:val="en-GB"/>
        </w:rPr>
        <w:t>(1)</w:t>
      </w:r>
    </w:p>
    <w:p w14:paraId="272A87F3" w14:textId="0253C964" w:rsidR="004B3AB5" w:rsidRPr="000050B8" w:rsidRDefault="004B3AB5" w:rsidP="002169C3">
      <w:pPr>
        <w:spacing w:line="480" w:lineRule="auto"/>
        <w:jc w:val="left"/>
        <w:rPr>
          <w:szCs w:val="24"/>
          <w:lang w:val="en-GB"/>
        </w:rPr>
      </w:pPr>
      <w:r w:rsidRPr="000050B8">
        <w:rPr>
          <w:szCs w:val="24"/>
          <w:lang w:val="en-GB"/>
        </w:rPr>
        <w:t xml:space="preserve">The dependent variable, </w:t>
      </w:r>
      <w:r w:rsidRPr="000050B8">
        <w:rPr>
          <w:i/>
          <w:szCs w:val="24"/>
          <w:lang w:val="en-GB"/>
        </w:rPr>
        <w:t>innovation</w:t>
      </w:r>
      <w:r w:rsidRPr="000050B8">
        <w:rPr>
          <w:szCs w:val="24"/>
          <w:lang w:val="en-GB"/>
        </w:rPr>
        <w:t xml:space="preserve">, refers to the five dimensions of innovation outlined above. </w:t>
      </w:r>
      <w:r>
        <w:rPr>
          <w:szCs w:val="24"/>
          <w:lang w:val="en-GB"/>
        </w:rPr>
        <w:t>We run five models</w:t>
      </w:r>
      <w:r w:rsidRPr="000050B8">
        <w:rPr>
          <w:szCs w:val="24"/>
          <w:lang w:val="en-GB"/>
        </w:rPr>
        <w:t xml:space="preserve">, one for each measure of innovation. The probability of innovation in firm </w:t>
      </w:r>
      <w:proofErr w:type="spellStart"/>
      <w:r w:rsidRPr="000050B8">
        <w:rPr>
          <w:i/>
          <w:szCs w:val="24"/>
          <w:lang w:val="en-GB"/>
        </w:rPr>
        <w:t>i</w:t>
      </w:r>
      <w:proofErr w:type="spellEnd"/>
      <w:r w:rsidRPr="000050B8">
        <w:rPr>
          <w:szCs w:val="24"/>
          <w:lang w:val="en-GB"/>
        </w:rPr>
        <w:t xml:space="preserve"> at time </w:t>
      </w:r>
      <w:r w:rsidRPr="000050B8">
        <w:rPr>
          <w:i/>
          <w:szCs w:val="24"/>
          <w:lang w:val="en-GB"/>
        </w:rPr>
        <w:t>t</w:t>
      </w:r>
      <w:r w:rsidRPr="000050B8">
        <w:rPr>
          <w:szCs w:val="24"/>
          <w:lang w:val="en-GB"/>
        </w:rPr>
        <w:t xml:space="preserve"> is modelled as a function of the vectors </w:t>
      </w:r>
      <w:r w:rsidRPr="00EB63F1">
        <w:rPr>
          <w:b/>
          <w:szCs w:val="24"/>
          <w:lang w:val="en-GB"/>
        </w:rPr>
        <w:t>partners</w:t>
      </w:r>
      <w:r w:rsidRPr="000050B8">
        <w:rPr>
          <w:szCs w:val="24"/>
          <w:lang w:val="en-GB"/>
        </w:rPr>
        <w:t xml:space="preserve"> (referring to the three geographical scales outlined above), </w:t>
      </w:r>
      <w:r w:rsidRPr="00EB63F1">
        <w:rPr>
          <w:b/>
          <w:szCs w:val="24"/>
          <w:lang w:val="en-GB"/>
        </w:rPr>
        <w:t>location</w:t>
      </w:r>
      <w:r w:rsidRPr="000050B8">
        <w:rPr>
          <w:szCs w:val="24"/>
          <w:lang w:val="en-GB"/>
        </w:rPr>
        <w:t xml:space="preserve"> (the four categories of centrality outlined above), and </w:t>
      </w:r>
      <w:r w:rsidRPr="00EB63F1">
        <w:rPr>
          <w:b/>
          <w:szCs w:val="24"/>
          <w:lang w:val="en-GB"/>
        </w:rPr>
        <w:t>controls</w:t>
      </w:r>
      <w:r w:rsidRPr="000050B8">
        <w:rPr>
          <w:szCs w:val="24"/>
          <w:lang w:val="en-GB"/>
        </w:rPr>
        <w:t xml:space="preserve"> (the four control variables presented above) at time </w:t>
      </w:r>
      <w:r w:rsidRPr="000050B8">
        <w:rPr>
          <w:i/>
          <w:szCs w:val="24"/>
          <w:lang w:val="en-GB"/>
        </w:rPr>
        <w:t>t-1</w:t>
      </w:r>
      <w:r w:rsidRPr="000050B8">
        <w:rPr>
          <w:szCs w:val="24"/>
          <w:lang w:val="en-GB"/>
        </w:rPr>
        <w:t xml:space="preserve">. In this analysis, </w:t>
      </w:r>
      <w:r w:rsidRPr="000050B8">
        <w:rPr>
          <w:i/>
          <w:szCs w:val="24"/>
          <w:lang w:val="en-GB"/>
        </w:rPr>
        <w:t>t</w:t>
      </w:r>
      <w:r w:rsidRPr="000050B8">
        <w:rPr>
          <w:szCs w:val="24"/>
          <w:lang w:val="en-GB"/>
        </w:rPr>
        <w:t xml:space="preserve"> can be either 2008 or 2010, while </w:t>
      </w:r>
      <w:r w:rsidRPr="000050B8">
        <w:rPr>
          <w:i/>
          <w:szCs w:val="24"/>
          <w:lang w:val="en-GB"/>
        </w:rPr>
        <w:t>t-1</w:t>
      </w:r>
      <w:r w:rsidRPr="000050B8">
        <w:rPr>
          <w:szCs w:val="24"/>
          <w:lang w:val="en-GB"/>
        </w:rPr>
        <w:t xml:space="preserve"> is correspondingly 2006 or 2008. In addition, we include the time of measurement of the independent variables as a fixed effect to account for any temporal trends. As some firms are observed twice (at t=2008 and t=2010), we use robust standard errors</w:t>
      </w:r>
      <w:r>
        <w:rPr>
          <w:szCs w:val="24"/>
          <w:lang w:val="en-GB"/>
        </w:rPr>
        <w:t>,</w:t>
      </w:r>
      <w:r w:rsidRPr="000050B8">
        <w:rPr>
          <w:szCs w:val="24"/>
          <w:lang w:val="en-GB"/>
        </w:rPr>
        <w:t xml:space="preserve"> clustered over firms</w:t>
      </w:r>
      <w:r>
        <w:rPr>
          <w:szCs w:val="24"/>
          <w:lang w:val="en-GB"/>
        </w:rPr>
        <w:t>.</w:t>
      </w:r>
      <w:r w:rsidR="00E8487C">
        <w:rPr>
          <w:szCs w:val="24"/>
          <w:vertAlign w:val="superscript"/>
          <w:lang w:val="en-GB"/>
        </w:rPr>
        <w:t>5</w:t>
      </w:r>
      <w:r w:rsidRPr="000050B8">
        <w:rPr>
          <w:szCs w:val="24"/>
          <w:lang w:val="en-GB"/>
        </w:rPr>
        <w:t xml:space="preserve"> Table 2 shows the results of estimating this model (which we refer to as Model 1).</w:t>
      </w:r>
    </w:p>
    <w:p w14:paraId="0E1A672C" w14:textId="77777777" w:rsidR="00AF2E13" w:rsidRDefault="00AF2E13">
      <w:pPr>
        <w:spacing w:after="0" w:line="240" w:lineRule="auto"/>
        <w:jc w:val="left"/>
        <w:rPr>
          <w:b/>
          <w:caps/>
          <w:lang w:val="en-GB"/>
        </w:rPr>
      </w:pPr>
      <w:r>
        <w:rPr>
          <w:b/>
          <w:caps/>
          <w:lang w:val="en-GB"/>
        </w:rPr>
        <w:br w:type="page"/>
      </w:r>
    </w:p>
    <w:p w14:paraId="191E2969" w14:textId="3937007C" w:rsidR="000F16C4" w:rsidRPr="00406E9B" w:rsidRDefault="000F16C4" w:rsidP="000F16C4">
      <w:pPr>
        <w:spacing w:line="240" w:lineRule="auto"/>
        <w:rPr>
          <w:b/>
          <w:lang w:val="en-GB"/>
        </w:rPr>
      </w:pPr>
      <w:r w:rsidRPr="00EB63F1">
        <w:rPr>
          <w:b/>
          <w:caps/>
          <w:lang w:val="en-GB"/>
        </w:rPr>
        <w:lastRenderedPageBreak/>
        <w:t>Table</w:t>
      </w:r>
      <w:r w:rsidRPr="00406E9B">
        <w:rPr>
          <w:b/>
          <w:szCs w:val="24"/>
          <w:lang w:val="en-GB"/>
        </w:rPr>
        <w:t xml:space="preserve"> 2: Logit regression results, Model 1</w:t>
      </w:r>
    </w:p>
    <w:tbl>
      <w:tblPr>
        <w:tblW w:w="5613" w:type="pct"/>
        <w:jc w:val="center"/>
        <w:tblCellMar>
          <w:left w:w="75" w:type="dxa"/>
          <w:right w:w="75" w:type="dxa"/>
        </w:tblCellMar>
        <w:tblLook w:val="0000" w:firstRow="0" w:lastRow="0" w:firstColumn="0" w:lastColumn="0" w:noHBand="0" w:noVBand="0"/>
      </w:tblPr>
      <w:tblGrid>
        <w:gridCol w:w="2953"/>
        <w:gridCol w:w="1268"/>
        <w:gridCol w:w="1703"/>
        <w:gridCol w:w="1264"/>
        <w:gridCol w:w="1765"/>
        <w:gridCol w:w="1393"/>
      </w:tblGrid>
      <w:tr w:rsidR="000F16C4" w14:paraId="68750068" w14:textId="77777777" w:rsidTr="000972AF">
        <w:trPr>
          <w:jc w:val="center"/>
        </w:trPr>
        <w:tc>
          <w:tcPr>
            <w:tcW w:w="1427" w:type="pct"/>
            <w:tcBorders>
              <w:top w:val="single" w:sz="6" w:space="0" w:color="auto"/>
              <w:left w:val="nil"/>
              <w:bottom w:val="nil"/>
              <w:right w:val="nil"/>
            </w:tcBorders>
          </w:tcPr>
          <w:p w14:paraId="352756DE" w14:textId="77777777" w:rsidR="000F16C4" w:rsidRPr="00406E9B" w:rsidRDefault="000F16C4" w:rsidP="000972AF">
            <w:pPr>
              <w:widowControl w:val="0"/>
              <w:autoSpaceDE w:val="0"/>
              <w:autoSpaceDN w:val="0"/>
              <w:adjustRightInd w:val="0"/>
              <w:spacing w:after="0" w:line="240" w:lineRule="auto"/>
              <w:rPr>
                <w:szCs w:val="24"/>
                <w:lang w:val="en-GB"/>
              </w:rPr>
            </w:pPr>
          </w:p>
        </w:tc>
        <w:tc>
          <w:tcPr>
            <w:tcW w:w="613" w:type="pct"/>
            <w:tcBorders>
              <w:top w:val="single" w:sz="6" w:space="0" w:color="auto"/>
              <w:left w:val="nil"/>
              <w:bottom w:val="nil"/>
              <w:right w:val="nil"/>
            </w:tcBorders>
          </w:tcPr>
          <w:p w14:paraId="413C658E" w14:textId="77777777" w:rsidR="000F16C4" w:rsidRDefault="000F16C4" w:rsidP="000972AF">
            <w:pPr>
              <w:widowControl w:val="0"/>
              <w:autoSpaceDE w:val="0"/>
              <w:autoSpaceDN w:val="0"/>
              <w:adjustRightInd w:val="0"/>
              <w:spacing w:after="0" w:line="240" w:lineRule="auto"/>
              <w:jc w:val="center"/>
              <w:rPr>
                <w:szCs w:val="24"/>
              </w:rPr>
            </w:pPr>
            <w:r>
              <w:rPr>
                <w:szCs w:val="24"/>
              </w:rPr>
              <w:t>(1)</w:t>
            </w:r>
          </w:p>
        </w:tc>
        <w:tc>
          <w:tcPr>
            <w:tcW w:w="823" w:type="pct"/>
            <w:tcBorders>
              <w:top w:val="single" w:sz="6" w:space="0" w:color="auto"/>
              <w:left w:val="nil"/>
              <w:bottom w:val="nil"/>
              <w:right w:val="nil"/>
            </w:tcBorders>
          </w:tcPr>
          <w:p w14:paraId="4510C96F" w14:textId="77777777" w:rsidR="000F16C4" w:rsidRDefault="000F16C4" w:rsidP="000972AF">
            <w:pPr>
              <w:widowControl w:val="0"/>
              <w:autoSpaceDE w:val="0"/>
              <w:autoSpaceDN w:val="0"/>
              <w:adjustRightInd w:val="0"/>
              <w:spacing w:after="0" w:line="240" w:lineRule="auto"/>
              <w:jc w:val="center"/>
              <w:rPr>
                <w:szCs w:val="24"/>
              </w:rPr>
            </w:pPr>
            <w:r>
              <w:rPr>
                <w:szCs w:val="24"/>
              </w:rPr>
              <w:t>(2)</w:t>
            </w:r>
          </w:p>
        </w:tc>
        <w:tc>
          <w:tcPr>
            <w:tcW w:w="611" w:type="pct"/>
            <w:tcBorders>
              <w:top w:val="single" w:sz="6" w:space="0" w:color="auto"/>
              <w:left w:val="nil"/>
              <w:bottom w:val="nil"/>
              <w:right w:val="nil"/>
            </w:tcBorders>
          </w:tcPr>
          <w:p w14:paraId="300C80CA" w14:textId="77777777" w:rsidR="000F16C4" w:rsidRDefault="000F16C4" w:rsidP="000972AF">
            <w:pPr>
              <w:widowControl w:val="0"/>
              <w:autoSpaceDE w:val="0"/>
              <w:autoSpaceDN w:val="0"/>
              <w:adjustRightInd w:val="0"/>
              <w:spacing w:after="0" w:line="240" w:lineRule="auto"/>
              <w:jc w:val="center"/>
              <w:rPr>
                <w:szCs w:val="24"/>
              </w:rPr>
            </w:pPr>
            <w:r>
              <w:rPr>
                <w:szCs w:val="24"/>
              </w:rPr>
              <w:t>(3)</w:t>
            </w:r>
          </w:p>
        </w:tc>
        <w:tc>
          <w:tcPr>
            <w:tcW w:w="853" w:type="pct"/>
            <w:tcBorders>
              <w:top w:val="single" w:sz="6" w:space="0" w:color="auto"/>
              <w:left w:val="nil"/>
              <w:bottom w:val="nil"/>
              <w:right w:val="nil"/>
            </w:tcBorders>
          </w:tcPr>
          <w:p w14:paraId="6AB59A93" w14:textId="77777777" w:rsidR="000F16C4" w:rsidRDefault="000F16C4" w:rsidP="000972AF">
            <w:pPr>
              <w:widowControl w:val="0"/>
              <w:autoSpaceDE w:val="0"/>
              <w:autoSpaceDN w:val="0"/>
              <w:adjustRightInd w:val="0"/>
              <w:spacing w:after="0" w:line="240" w:lineRule="auto"/>
              <w:jc w:val="center"/>
              <w:rPr>
                <w:szCs w:val="24"/>
              </w:rPr>
            </w:pPr>
            <w:r>
              <w:rPr>
                <w:szCs w:val="24"/>
              </w:rPr>
              <w:t>(4)</w:t>
            </w:r>
          </w:p>
        </w:tc>
        <w:tc>
          <w:tcPr>
            <w:tcW w:w="673" w:type="pct"/>
            <w:tcBorders>
              <w:top w:val="single" w:sz="6" w:space="0" w:color="auto"/>
              <w:left w:val="nil"/>
              <w:bottom w:val="nil"/>
              <w:right w:val="nil"/>
            </w:tcBorders>
          </w:tcPr>
          <w:p w14:paraId="53F7E765" w14:textId="77777777" w:rsidR="000F16C4" w:rsidRDefault="000F16C4" w:rsidP="000972AF">
            <w:pPr>
              <w:widowControl w:val="0"/>
              <w:autoSpaceDE w:val="0"/>
              <w:autoSpaceDN w:val="0"/>
              <w:adjustRightInd w:val="0"/>
              <w:spacing w:after="0" w:line="240" w:lineRule="auto"/>
              <w:jc w:val="center"/>
              <w:rPr>
                <w:szCs w:val="24"/>
              </w:rPr>
            </w:pPr>
            <w:r>
              <w:rPr>
                <w:szCs w:val="24"/>
              </w:rPr>
              <w:t>(5)</w:t>
            </w:r>
          </w:p>
        </w:tc>
      </w:tr>
      <w:tr w:rsidR="000F16C4" w14:paraId="69F21D45" w14:textId="77777777" w:rsidTr="000972AF">
        <w:trPr>
          <w:jc w:val="center"/>
        </w:trPr>
        <w:tc>
          <w:tcPr>
            <w:tcW w:w="1427" w:type="pct"/>
            <w:tcBorders>
              <w:top w:val="nil"/>
              <w:left w:val="nil"/>
              <w:bottom w:val="single" w:sz="6" w:space="0" w:color="auto"/>
              <w:right w:val="nil"/>
            </w:tcBorders>
          </w:tcPr>
          <w:p w14:paraId="6B9D7324" w14:textId="77777777" w:rsidR="000F16C4" w:rsidRDefault="000F16C4" w:rsidP="000972AF">
            <w:pPr>
              <w:widowControl w:val="0"/>
              <w:autoSpaceDE w:val="0"/>
              <w:autoSpaceDN w:val="0"/>
              <w:adjustRightInd w:val="0"/>
              <w:spacing w:after="0" w:line="240" w:lineRule="auto"/>
              <w:rPr>
                <w:szCs w:val="24"/>
              </w:rPr>
            </w:pPr>
            <w:r>
              <w:rPr>
                <w:szCs w:val="24"/>
              </w:rPr>
              <w:t>VARIABLES</w:t>
            </w:r>
          </w:p>
        </w:tc>
        <w:tc>
          <w:tcPr>
            <w:tcW w:w="613" w:type="pct"/>
            <w:tcBorders>
              <w:top w:val="nil"/>
              <w:left w:val="nil"/>
              <w:bottom w:val="single" w:sz="6" w:space="0" w:color="auto"/>
              <w:right w:val="nil"/>
            </w:tcBorders>
          </w:tcPr>
          <w:p w14:paraId="1257125C" w14:textId="77777777" w:rsidR="000F16C4" w:rsidRDefault="000F16C4" w:rsidP="000972AF">
            <w:pPr>
              <w:widowControl w:val="0"/>
              <w:autoSpaceDE w:val="0"/>
              <w:autoSpaceDN w:val="0"/>
              <w:adjustRightInd w:val="0"/>
              <w:spacing w:after="0" w:line="240" w:lineRule="auto"/>
              <w:jc w:val="center"/>
              <w:rPr>
                <w:szCs w:val="24"/>
              </w:rPr>
            </w:pPr>
            <w:r>
              <w:rPr>
                <w:szCs w:val="24"/>
              </w:rPr>
              <w:t>Product innovation</w:t>
            </w:r>
          </w:p>
        </w:tc>
        <w:tc>
          <w:tcPr>
            <w:tcW w:w="823" w:type="pct"/>
            <w:tcBorders>
              <w:top w:val="nil"/>
              <w:left w:val="nil"/>
              <w:bottom w:val="single" w:sz="6" w:space="0" w:color="auto"/>
              <w:right w:val="nil"/>
            </w:tcBorders>
          </w:tcPr>
          <w:p w14:paraId="316804A7" w14:textId="77777777" w:rsidR="000F16C4" w:rsidRDefault="000F16C4" w:rsidP="000972AF">
            <w:pPr>
              <w:widowControl w:val="0"/>
              <w:autoSpaceDE w:val="0"/>
              <w:autoSpaceDN w:val="0"/>
              <w:adjustRightInd w:val="0"/>
              <w:spacing w:after="0" w:line="240" w:lineRule="auto"/>
              <w:jc w:val="center"/>
              <w:rPr>
                <w:szCs w:val="24"/>
              </w:rPr>
            </w:pPr>
            <w:r>
              <w:rPr>
                <w:szCs w:val="24"/>
              </w:rPr>
              <w:t>New-to-market innovation</w:t>
            </w:r>
          </w:p>
        </w:tc>
        <w:tc>
          <w:tcPr>
            <w:tcW w:w="611" w:type="pct"/>
            <w:tcBorders>
              <w:top w:val="nil"/>
              <w:left w:val="nil"/>
              <w:bottom w:val="single" w:sz="6" w:space="0" w:color="auto"/>
              <w:right w:val="nil"/>
            </w:tcBorders>
          </w:tcPr>
          <w:p w14:paraId="7E873B1A" w14:textId="77777777" w:rsidR="000F16C4" w:rsidRDefault="000F16C4" w:rsidP="000972AF">
            <w:pPr>
              <w:widowControl w:val="0"/>
              <w:autoSpaceDE w:val="0"/>
              <w:autoSpaceDN w:val="0"/>
              <w:adjustRightInd w:val="0"/>
              <w:spacing w:after="0" w:line="240" w:lineRule="auto"/>
              <w:jc w:val="center"/>
              <w:rPr>
                <w:szCs w:val="24"/>
              </w:rPr>
            </w:pPr>
            <w:r>
              <w:rPr>
                <w:szCs w:val="24"/>
              </w:rPr>
              <w:t>Process innovation</w:t>
            </w:r>
          </w:p>
        </w:tc>
        <w:tc>
          <w:tcPr>
            <w:tcW w:w="853" w:type="pct"/>
            <w:tcBorders>
              <w:top w:val="nil"/>
              <w:left w:val="nil"/>
              <w:bottom w:val="single" w:sz="6" w:space="0" w:color="auto"/>
              <w:right w:val="nil"/>
            </w:tcBorders>
          </w:tcPr>
          <w:p w14:paraId="24F35CBE" w14:textId="77777777" w:rsidR="000F16C4" w:rsidRDefault="000F16C4" w:rsidP="000972AF">
            <w:pPr>
              <w:widowControl w:val="0"/>
              <w:autoSpaceDE w:val="0"/>
              <w:autoSpaceDN w:val="0"/>
              <w:adjustRightInd w:val="0"/>
              <w:spacing w:after="0" w:line="240" w:lineRule="auto"/>
              <w:jc w:val="center"/>
              <w:rPr>
                <w:szCs w:val="24"/>
              </w:rPr>
            </w:pPr>
            <w:r>
              <w:rPr>
                <w:szCs w:val="24"/>
              </w:rPr>
              <w:t>Organisational innovation</w:t>
            </w:r>
          </w:p>
        </w:tc>
        <w:tc>
          <w:tcPr>
            <w:tcW w:w="673" w:type="pct"/>
            <w:tcBorders>
              <w:top w:val="nil"/>
              <w:left w:val="nil"/>
              <w:bottom w:val="single" w:sz="6" w:space="0" w:color="auto"/>
              <w:right w:val="nil"/>
            </w:tcBorders>
          </w:tcPr>
          <w:p w14:paraId="2739A816" w14:textId="77777777" w:rsidR="000F16C4" w:rsidRDefault="000F16C4" w:rsidP="000972AF">
            <w:pPr>
              <w:widowControl w:val="0"/>
              <w:autoSpaceDE w:val="0"/>
              <w:autoSpaceDN w:val="0"/>
              <w:adjustRightInd w:val="0"/>
              <w:spacing w:after="0" w:line="240" w:lineRule="auto"/>
              <w:jc w:val="center"/>
              <w:rPr>
                <w:szCs w:val="24"/>
              </w:rPr>
            </w:pPr>
            <w:r>
              <w:rPr>
                <w:szCs w:val="24"/>
              </w:rPr>
              <w:t>Marketing innovation</w:t>
            </w:r>
          </w:p>
        </w:tc>
      </w:tr>
      <w:tr w:rsidR="000F16C4" w14:paraId="053C72D2" w14:textId="77777777" w:rsidTr="000972AF">
        <w:trPr>
          <w:jc w:val="center"/>
        </w:trPr>
        <w:tc>
          <w:tcPr>
            <w:tcW w:w="1427" w:type="pct"/>
            <w:tcBorders>
              <w:top w:val="nil"/>
              <w:left w:val="nil"/>
              <w:bottom w:val="nil"/>
              <w:right w:val="nil"/>
            </w:tcBorders>
          </w:tcPr>
          <w:p w14:paraId="0859D2A3" w14:textId="77777777" w:rsidR="000F16C4" w:rsidRDefault="000F16C4" w:rsidP="000972AF">
            <w:pPr>
              <w:widowControl w:val="0"/>
              <w:autoSpaceDE w:val="0"/>
              <w:autoSpaceDN w:val="0"/>
              <w:adjustRightInd w:val="0"/>
              <w:spacing w:after="0" w:line="240" w:lineRule="auto"/>
              <w:rPr>
                <w:szCs w:val="24"/>
              </w:rPr>
            </w:pPr>
          </w:p>
        </w:tc>
        <w:tc>
          <w:tcPr>
            <w:tcW w:w="613" w:type="pct"/>
            <w:tcBorders>
              <w:top w:val="nil"/>
              <w:left w:val="nil"/>
              <w:bottom w:val="nil"/>
              <w:right w:val="nil"/>
            </w:tcBorders>
          </w:tcPr>
          <w:p w14:paraId="78F26046" w14:textId="77777777" w:rsidR="000F16C4" w:rsidRDefault="000F16C4" w:rsidP="000972AF">
            <w:pPr>
              <w:widowControl w:val="0"/>
              <w:autoSpaceDE w:val="0"/>
              <w:autoSpaceDN w:val="0"/>
              <w:adjustRightInd w:val="0"/>
              <w:spacing w:after="0" w:line="240" w:lineRule="auto"/>
              <w:jc w:val="center"/>
              <w:rPr>
                <w:szCs w:val="24"/>
              </w:rPr>
            </w:pPr>
          </w:p>
        </w:tc>
        <w:tc>
          <w:tcPr>
            <w:tcW w:w="823" w:type="pct"/>
            <w:tcBorders>
              <w:top w:val="nil"/>
              <w:left w:val="nil"/>
              <w:bottom w:val="nil"/>
              <w:right w:val="nil"/>
            </w:tcBorders>
          </w:tcPr>
          <w:p w14:paraId="05644BF4" w14:textId="77777777" w:rsidR="000F16C4" w:rsidRDefault="000F16C4" w:rsidP="000972AF">
            <w:pPr>
              <w:widowControl w:val="0"/>
              <w:autoSpaceDE w:val="0"/>
              <w:autoSpaceDN w:val="0"/>
              <w:adjustRightInd w:val="0"/>
              <w:spacing w:after="0" w:line="240" w:lineRule="auto"/>
              <w:jc w:val="center"/>
              <w:rPr>
                <w:szCs w:val="24"/>
              </w:rPr>
            </w:pPr>
          </w:p>
        </w:tc>
        <w:tc>
          <w:tcPr>
            <w:tcW w:w="611" w:type="pct"/>
            <w:tcBorders>
              <w:top w:val="nil"/>
              <w:left w:val="nil"/>
              <w:bottom w:val="nil"/>
              <w:right w:val="nil"/>
            </w:tcBorders>
          </w:tcPr>
          <w:p w14:paraId="73C2801E" w14:textId="77777777" w:rsidR="000F16C4" w:rsidRDefault="000F16C4" w:rsidP="000972AF">
            <w:pPr>
              <w:widowControl w:val="0"/>
              <w:autoSpaceDE w:val="0"/>
              <w:autoSpaceDN w:val="0"/>
              <w:adjustRightInd w:val="0"/>
              <w:spacing w:after="0" w:line="240" w:lineRule="auto"/>
              <w:jc w:val="center"/>
              <w:rPr>
                <w:szCs w:val="24"/>
              </w:rPr>
            </w:pPr>
          </w:p>
        </w:tc>
        <w:tc>
          <w:tcPr>
            <w:tcW w:w="853" w:type="pct"/>
            <w:tcBorders>
              <w:top w:val="nil"/>
              <w:left w:val="nil"/>
              <w:bottom w:val="nil"/>
              <w:right w:val="nil"/>
            </w:tcBorders>
          </w:tcPr>
          <w:p w14:paraId="07B9ECBF" w14:textId="77777777" w:rsidR="000F16C4" w:rsidRDefault="000F16C4" w:rsidP="000972AF">
            <w:pPr>
              <w:widowControl w:val="0"/>
              <w:autoSpaceDE w:val="0"/>
              <w:autoSpaceDN w:val="0"/>
              <w:adjustRightInd w:val="0"/>
              <w:spacing w:after="0" w:line="240" w:lineRule="auto"/>
              <w:jc w:val="center"/>
              <w:rPr>
                <w:szCs w:val="24"/>
              </w:rPr>
            </w:pPr>
          </w:p>
        </w:tc>
        <w:tc>
          <w:tcPr>
            <w:tcW w:w="673" w:type="pct"/>
            <w:tcBorders>
              <w:top w:val="nil"/>
              <w:left w:val="nil"/>
              <w:bottom w:val="nil"/>
              <w:right w:val="nil"/>
            </w:tcBorders>
          </w:tcPr>
          <w:p w14:paraId="02BC19F5" w14:textId="77777777" w:rsidR="000F16C4" w:rsidRDefault="000F16C4" w:rsidP="000972AF">
            <w:pPr>
              <w:widowControl w:val="0"/>
              <w:autoSpaceDE w:val="0"/>
              <w:autoSpaceDN w:val="0"/>
              <w:adjustRightInd w:val="0"/>
              <w:spacing w:after="0" w:line="240" w:lineRule="auto"/>
              <w:jc w:val="center"/>
              <w:rPr>
                <w:szCs w:val="24"/>
              </w:rPr>
            </w:pPr>
          </w:p>
        </w:tc>
      </w:tr>
      <w:tr w:rsidR="000F16C4" w14:paraId="641E6A02" w14:textId="77777777" w:rsidTr="000972AF">
        <w:trPr>
          <w:jc w:val="center"/>
        </w:trPr>
        <w:tc>
          <w:tcPr>
            <w:tcW w:w="1427" w:type="pct"/>
            <w:tcBorders>
              <w:top w:val="nil"/>
              <w:left w:val="nil"/>
              <w:bottom w:val="nil"/>
              <w:right w:val="nil"/>
            </w:tcBorders>
          </w:tcPr>
          <w:p w14:paraId="7B0D9936" w14:textId="77777777" w:rsidR="000F16C4" w:rsidRDefault="000F16C4" w:rsidP="000972AF">
            <w:pPr>
              <w:widowControl w:val="0"/>
              <w:autoSpaceDE w:val="0"/>
              <w:autoSpaceDN w:val="0"/>
              <w:adjustRightInd w:val="0"/>
              <w:spacing w:after="0" w:line="240" w:lineRule="auto"/>
              <w:rPr>
                <w:szCs w:val="24"/>
              </w:rPr>
            </w:pPr>
            <w:r>
              <w:rPr>
                <w:szCs w:val="24"/>
              </w:rPr>
              <w:t>Regional partners</w:t>
            </w:r>
          </w:p>
        </w:tc>
        <w:tc>
          <w:tcPr>
            <w:tcW w:w="613" w:type="pct"/>
            <w:tcBorders>
              <w:top w:val="nil"/>
              <w:left w:val="nil"/>
              <w:bottom w:val="nil"/>
              <w:right w:val="nil"/>
            </w:tcBorders>
          </w:tcPr>
          <w:p w14:paraId="53BBA2EB" w14:textId="77777777" w:rsidR="000F16C4" w:rsidRDefault="000F16C4" w:rsidP="000972AF">
            <w:pPr>
              <w:widowControl w:val="0"/>
              <w:autoSpaceDE w:val="0"/>
              <w:autoSpaceDN w:val="0"/>
              <w:adjustRightInd w:val="0"/>
              <w:spacing w:after="0" w:line="240" w:lineRule="auto"/>
              <w:jc w:val="center"/>
              <w:rPr>
                <w:szCs w:val="24"/>
              </w:rPr>
            </w:pPr>
            <w:r>
              <w:rPr>
                <w:szCs w:val="24"/>
              </w:rPr>
              <w:t>0.99</w:t>
            </w:r>
          </w:p>
        </w:tc>
        <w:tc>
          <w:tcPr>
            <w:tcW w:w="823" w:type="pct"/>
            <w:tcBorders>
              <w:top w:val="nil"/>
              <w:left w:val="nil"/>
              <w:bottom w:val="nil"/>
              <w:right w:val="nil"/>
            </w:tcBorders>
          </w:tcPr>
          <w:p w14:paraId="6065FB18" w14:textId="77777777" w:rsidR="000F16C4" w:rsidRDefault="000F16C4" w:rsidP="000972AF">
            <w:pPr>
              <w:widowControl w:val="0"/>
              <w:autoSpaceDE w:val="0"/>
              <w:autoSpaceDN w:val="0"/>
              <w:adjustRightInd w:val="0"/>
              <w:spacing w:after="0" w:line="240" w:lineRule="auto"/>
              <w:jc w:val="center"/>
              <w:rPr>
                <w:szCs w:val="24"/>
              </w:rPr>
            </w:pPr>
            <w:r>
              <w:rPr>
                <w:szCs w:val="24"/>
              </w:rPr>
              <w:t>1.00</w:t>
            </w:r>
          </w:p>
        </w:tc>
        <w:tc>
          <w:tcPr>
            <w:tcW w:w="611" w:type="pct"/>
            <w:tcBorders>
              <w:top w:val="nil"/>
              <w:left w:val="nil"/>
              <w:bottom w:val="nil"/>
              <w:right w:val="nil"/>
            </w:tcBorders>
          </w:tcPr>
          <w:p w14:paraId="435EACDF" w14:textId="77777777" w:rsidR="000F16C4" w:rsidRDefault="000F16C4" w:rsidP="000972AF">
            <w:pPr>
              <w:widowControl w:val="0"/>
              <w:autoSpaceDE w:val="0"/>
              <w:autoSpaceDN w:val="0"/>
              <w:adjustRightInd w:val="0"/>
              <w:spacing w:after="0" w:line="240" w:lineRule="auto"/>
              <w:jc w:val="center"/>
              <w:rPr>
                <w:szCs w:val="24"/>
              </w:rPr>
            </w:pPr>
            <w:r>
              <w:rPr>
                <w:szCs w:val="24"/>
              </w:rPr>
              <w:t>1.08*</w:t>
            </w:r>
          </w:p>
        </w:tc>
        <w:tc>
          <w:tcPr>
            <w:tcW w:w="853" w:type="pct"/>
            <w:tcBorders>
              <w:top w:val="nil"/>
              <w:left w:val="nil"/>
              <w:bottom w:val="nil"/>
              <w:right w:val="nil"/>
            </w:tcBorders>
          </w:tcPr>
          <w:p w14:paraId="221AC918" w14:textId="77777777" w:rsidR="000F16C4" w:rsidRDefault="000F16C4" w:rsidP="000972AF">
            <w:pPr>
              <w:widowControl w:val="0"/>
              <w:autoSpaceDE w:val="0"/>
              <w:autoSpaceDN w:val="0"/>
              <w:adjustRightInd w:val="0"/>
              <w:spacing w:after="0" w:line="240" w:lineRule="auto"/>
              <w:jc w:val="center"/>
              <w:rPr>
                <w:szCs w:val="24"/>
              </w:rPr>
            </w:pPr>
            <w:r>
              <w:rPr>
                <w:szCs w:val="24"/>
              </w:rPr>
              <w:t>1.14***</w:t>
            </w:r>
          </w:p>
        </w:tc>
        <w:tc>
          <w:tcPr>
            <w:tcW w:w="673" w:type="pct"/>
            <w:tcBorders>
              <w:top w:val="nil"/>
              <w:left w:val="nil"/>
              <w:bottom w:val="nil"/>
              <w:right w:val="nil"/>
            </w:tcBorders>
          </w:tcPr>
          <w:p w14:paraId="78A16EA3" w14:textId="77777777" w:rsidR="000F16C4" w:rsidRDefault="000F16C4" w:rsidP="000972AF">
            <w:pPr>
              <w:widowControl w:val="0"/>
              <w:autoSpaceDE w:val="0"/>
              <w:autoSpaceDN w:val="0"/>
              <w:adjustRightInd w:val="0"/>
              <w:spacing w:after="0" w:line="240" w:lineRule="auto"/>
              <w:jc w:val="center"/>
              <w:rPr>
                <w:szCs w:val="24"/>
              </w:rPr>
            </w:pPr>
            <w:r>
              <w:rPr>
                <w:szCs w:val="24"/>
              </w:rPr>
              <w:t>1.04</w:t>
            </w:r>
          </w:p>
        </w:tc>
      </w:tr>
      <w:tr w:rsidR="000F16C4" w14:paraId="1F563A50" w14:textId="77777777" w:rsidTr="000972AF">
        <w:trPr>
          <w:jc w:val="center"/>
        </w:trPr>
        <w:tc>
          <w:tcPr>
            <w:tcW w:w="1427" w:type="pct"/>
            <w:tcBorders>
              <w:top w:val="nil"/>
              <w:left w:val="nil"/>
              <w:bottom w:val="nil"/>
              <w:right w:val="nil"/>
            </w:tcBorders>
          </w:tcPr>
          <w:p w14:paraId="7DD5C63C" w14:textId="77777777" w:rsidR="000F16C4" w:rsidRDefault="000F16C4" w:rsidP="000972AF">
            <w:pPr>
              <w:widowControl w:val="0"/>
              <w:autoSpaceDE w:val="0"/>
              <w:autoSpaceDN w:val="0"/>
              <w:adjustRightInd w:val="0"/>
              <w:spacing w:after="0" w:line="240" w:lineRule="auto"/>
              <w:rPr>
                <w:szCs w:val="24"/>
              </w:rPr>
            </w:pPr>
          </w:p>
        </w:tc>
        <w:tc>
          <w:tcPr>
            <w:tcW w:w="613" w:type="pct"/>
            <w:tcBorders>
              <w:top w:val="nil"/>
              <w:left w:val="nil"/>
              <w:bottom w:val="nil"/>
              <w:right w:val="nil"/>
            </w:tcBorders>
          </w:tcPr>
          <w:p w14:paraId="0D22E123"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823" w:type="pct"/>
            <w:tcBorders>
              <w:top w:val="nil"/>
              <w:left w:val="nil"/>
              <w:bottom w:val="nil"/>
              <w:right w:val="nil"/>
            </w:tcBorders>
          </w:tcPr>
          <w:p w14:paraId="0E23C094"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611" w:type="pct"/>
            <w:tcBorders>
              <w:top w:val="nil"/>
              <w:left w:val="nil"/>
              <w:bottom w:val="nil"/>
              <w:right w:val="nil"/>
            </w:tcBorders>
          </w:tcPr>
          <w:p w14:paraId="0C9F9E79"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853" w:type="pct"/>
            <w:tcBorders>
              <w:top w:val="nil"/>
              <w:left w:val="nil"/>
              <w:bottom w:val="nil"/>
              <w:right w:val="nil"/>
            </w:tcBorders>
          </w:tcPr>
          <w:p w14:paraId="628F3DFB"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673" w:type="pct"/>
            <w:tcBorders>
              <w:top w:val="nil"/>
              <w:left w:val="nil"/>
              <w:bottom w:val="nil"/>
              <w:right w:val="nil"/>
            </w:tcBorders>
          </w:tcPr>
          <w:p w14:paraId="2C499E9A"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r>
      <w:tr w:rsidR="000F16C4" w14:paraId="62D4D3EE" w14:textId="77777777" w:rsidTr="000972AF">
        <w:trPr>
          <w:jc w:val="center"/>
        </w:trPr>
        <w:tc>
          <w:tcPr>
            <w:tcW w:w="1427" w:type="pct"/>
            <w:tcBorders>
              <w:top w:val="nil"/>
              <w:left w:val="nil"/>
              <w:bottom w:val="nil"/>
              <w:right w:val="nil"/>
            </w:tcBorders>
          </w:tcPr>
          <w:p w14:paraId="4A07C3A9" w14:textId="77777777" w:rsidR="000F16C4" w:rsidRDefault="000F16C4" w:rsidP="000972AF">
            <w:pPr>
              <w:widowControl w:val="0"/>
              <w:autoSpaceDE w:val="0"/>
              <w:autoSpaceDN w:val="0"/>
              <w:adjustRightInd w:val="0"/>
              <w:spacing w:after="0" w:line="240" w:lineRule="auto"/>
              <w:rPr>
                <w:szCs w:val="24"/>
              </w:rPr>
            </w:pPr>
            <w:r>
              <w:rPr>
                <w:szCs w:val="24"/>
              </w:rPr>
              <w:t>National partners</w:t>
            </w:r>
          </w:p>
        </w:tc>
        <w:tc>
          <w:tcPr>
            <w:tcW w:w="613" w:type="pct"/>
            <w:tcBorders>
              <w:top w:val="nil"/>
              <w:left w:val="nil"/>
              <w:bottom w:val="nil"/>
              <w:right w:val="nil"/>
            </w:tcBorders>
          </w:tcPr>
          <w:p w14:paraId="26EA17DE" w14:textId="77777777" w:rsidR="000F16C4" w:rsidRDefault="000F16C4" w:rsidP="000972AF">
            <w:pPr>
              <w:widowControl w:val="0"/>
              <w:autoSpaceDE w:val="0"/>
              <w:autoSpaceDN w:val="0"/>
              <w:adjustRightInd w:val="0"/>
              <w:spacing w:after="0" w:line="240" w:lineRule="auto"/>
              <w:jc w:val="center"/>
              <w:rPr>
                <w:szCs w:val="24"/>
              </w:rPr>
            </w:pPr>
            <w:r>
              <w:rPr>
                <w:szCs w:val="24"/>
              </w:rPr>
              <w:t>1.01</w:t>
            </w:r>
          </w:p>
        </w:tc>
        <w:tc>
          <w:tcPr>
            <w:tcW w:w="823" w:type="pct"/>
            <w:tcBorders>
              <w:top w:val="nil"/>
              <w:left w:val="nil"/>
              <w:bottom w:val="nil"/>
              <w:right w:val="nil"/>
            </w:tcBorders>
          </w:tcPr>
          <w:p w14:paraId="7DA26195" w14:textId="77777777" w:rsidR="000F16C4" w:rsidRDefault="000F16C4" w:rsidP="000972AF">
            <w:pPr>
              <w:widowControl w:val="0"/>
              <w:autoSpaceDE w:val="0"/>
              <w:autoSpaceDN w:val="0"/>
              <w:adjustRightInd w:val="0"/>
              <w:spacing w:after="0" w:line="240" w:lineRule="auto"/>
              <w:jc w:val="center"/>
              <w:rPr>
                <w:szCs w:val="24"/>
              </w:rPr>
            </w:pPr>
            <w:r>
              <w:rPr>
                <w:szCs w:val="24"/>
              </w:rPr>
              <w:t>1.02</w:t>
            </w:r>
          </w:p>
        </w:tc>
        <w:tc>
          <w:tcPr>
            <w:tcW w:w="611" w:type="pct"/>
            <w:tcBorders>
              <w:top w:val="nil"/>
              <w:left w:val="nil"/>
              <w:bottom w:val="nil"/>
              <w:right w:val="nil"/>
            </w:tcBorders>
          </w:tcPr>
          <w:p w14:paraId="59868B56" w14:textId="77777777" w:rsidR="000F16C4" w:rsidRDefault="000F16C4" w:rsidP="000972AF">
            <w:pPr>
              <w:widowControl w:val="0"/>
              <w:autoSpaceDE w:val="0"/>
              <w:autoSpaceDN w:val="0"/>
              <w:adjustRightInd w:val="0"/>
              <w:spacing w:after="0" w:line="240" w:lineRule="auto"/>
              <w:jc w:val="center"/>
              <w:rPr>
                <w:szCs w:val="24"/>
              </w:rPr>
            </w:pPr>
            <w:r>
              <w:rPr>
                <w:szCs w:val="24"/>
              </w:rPr>
              <w:t>0.99</w:t>
            </w:r>
          </w:p>
        </w:tc>
        <w:tc>
          <w:tcPr>
            <w:tcW w:w="853" w:type="pct"/>
            <w:tcBorders>
              <w:top w:val="nil"/>
              <w:left w:val="nil"/>
              <w:bottom w:val="nil"/>
              <w:right w:val="nil"/>
            </w:tcBorders>
          </w:tcPr>
          <w:p w14:paraId="199C45F9" w14:textId="77777777" w:rsidR="000F16C4" w:rsidRDefault="000F16C4" w:rsidP="000972AF">
            <w:pPr>
              <w:widowControl w:val="0"/>
              <w:autoSpaceDE w:val="0"/>
              <w:autoSpaceDN w:val="0"/>
              <w:adjustRightInd w:val="0"/>
              <w:spacing w:after="0" w:line="240" w:lineRule="auto"/>
              <w:jc w:val="center"/>
              <w:rPr>
                <w:szCs w:val="24"/>
              </w:rPr>
            </w:pPr>
            <w:r>
              <w:rPr>
                <w:szCs w:val="24"/>
              </w:rPr>
              <w:t>1.03</w:t>
            </w:r>
          </w:p>
        </w:tc>
        <w:tc>
          <w:tcPr>
            <w:tcW w:w="673" w:type="pct"/>
            <w:tcBorders>
              <w:top w:val="nil"/>
              <w:left w:val="nil"/>
              <w:bottom w:val="nil"/>
              <w:right w:val="nil"/>
            </w:tcBorders>
          </w:tcPr>
          <w:p w14:paraId="1B35323B" w14:textId="77777777" w:rsidR="000F16C4" w:rsidRDefault="000F16C4" w:rsidP="000972AF">
            <w:pPr>
              <w:widowControl w:val="0"/>
              <w:autoSpaceDE w:val="0"/>
              <w:autoSpaceDN w:val="0"/>
              <w:adjustRightInd w:val="0"/>
              <w:spacing w:after="0" w:line="240" w:lineRule="auto"/>
              <w:jc w:val="center"/>
              <w:rPr>
                <w:szCs w:val="24"/>
              </w:rPr>
            </w:pPr>
            <w:r>
              <w:rPr>
                <w:szCs w:val="24"/>
              </w:rPr>
              <w:t>0.97</w:t>
            </w:r>
          </w:p>
        </w:tc>
      </w:tr>
      <w:tr w:rsidR="000F16C4" w14:paraId="421091AF" w14:textId="77777777" w:rsidTr="000972AF">
        <w:trPr>
          <w:jc w:val="center"/>
        </w:trPr>
        <w:tc>
          <w:tcPr>
            <w:tcW w:w="1427" w:type="pct"/>
            <w:tcBorders>
              <w:top w:val="nil"/>
              <w:left w:val="nil"/>
              <w:bottom w:val="nil"/>
              <w:right w:val="nil"/>
            </w:tcBorders>
          </w:tcPr>
          <w:p w14:paraId="19D32AC7" w14:textId="77777777" w:rsidR="000F16C4" w:rsidRDefault="000F16C4" w:rsidP="000972AF">
            <w:pPr>
              <w:widowControl w:val="0"/>
              <w:autoSpaceDE w:val="0"/>
              <w:autoSpaceDN w:val="0"/>
              <w:adjustRightInd w:val="0"/>
              <w:spacing w:after="0" w:line="240" w:lineRule="auto"/>
              <w:rPr>
                <w:szCs w:val="24"/>
              </w:rPr>
            </w:pPr>
          </w:p>
        </w:tc>
        <w:tc>
          <w:tcPr>
            <w:tcW w:w="613" w:type="pct"/>
            <w:tcBorders>
              <w:top w:val="nil"/>
              <w:left w:val="nil"/>
              <w:bottom w:val="nil"/>
              <w:right w:val="nil"/>
            </w:tcBorders>
          </w:tcPr>
          <w:p w14:paraId="551CDB8C"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823" w:type="pct"/>
            <w:tcBorders>
              <w:top w:val="nil"/>
              <w:left w:val="nil"/>
              <w:bottom w:val="nil"/>
              <w:right w:val="nil"/>
            </w:tcBorders>
          </w:tcPr>
          <w:p w14:paraId="4F1F8018"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611" w:type="pct"/>
            <w:tcBorders>
              <w:top w:val="nil"/>
              <w:left w:val="nil"/>
              <w:bottom w:val="nil"/>
              <w:right w:val="nil"/>
            </w:tcBorders>
          </w:tcPr>
          <w:p w14:paraId="06820AB0"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853" w:type="pct"/>
            <w:tcBorders>
              <w:top w:val="nil"/>
              <w:left w:val="nil"/>
              <w:bottom w:val="nil"/>
              <w:right w:val="nil"/>
            </w:tcBorders>
          </w:tcPr>
          <w:p w14:paraId="45E0BFFA"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673" w:type="pct"/>
            <w:tcBorders>
              <w:top w:val="nil"/>
              <w:left w:val="nil"/>
              <w:bottom w:val="nil"/>
              <w:right w:val="nil"/>
            </w:tcBorders>
          </w:tcPr>
          <w:p w14:paraId="5A31C2F2"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r>
      <w:tr w:rsidR="000F16C4" w14:paraId="6DAB7877" w14:textId="77777777" w:rsidTr="000972AF">
        <w:trPr>
          <w:jc w:val="center"/>
        </w:trPr>
        <w:tc>
          <w:tcPr>
            <w:tcW w:w="1427" w:type="pct"/>
            <w:tcBorders>
              <w:top w:val="nil"/>
              <w:left w:val="nil"/>
              <w:bottom w:val="nil"/>
              <w:right w:val="nil"/>
            </w:tcBorders>
          </w:tcPr>
          <w:p w14:paraId="10B1C344" w14:textId="77777777" w:rsidR="000F16C4" w:rsidRDefault="000F16C4" w:rsidP="000972AF">
            <w:pPr>
              <w:widowControl w:val="0"/>
              <w:autoSpaceDE w:val="0"/>
              <w:autoSpaceDN w:val="0"/>
              <w:adjustRightInd w:val="0"/>
              <w:spacing w:after="0" w:line="240" w:lineRule="auto"/>
              <w:rPr>
                <w:szCs w:val="24"/>
              </w:rPr>
            </w:pPr>
            <w:r>
              <w:rPr>
                <w:szCs w:val="24"/>
              </w:rPr>
              <w:t>Foreign partners</w:t>
            </w:r>
          </w:p>
        </w:tc>
        <w:tc>
          <w:tcPr>
            <w:tcW w:w="613" w:type="pct"/>
            <w:tcBorders>
              <w:top w:val="nil"/>
              <w:left w:val="nil"/>
              <w:bottom w:val="nil"/>
              <w:right w:val="nil"/>
            </w:tcBorders>
          </w:tcPr>
          <w:p w14:paraId="0E9CAF45" w14:textId="77777777" w:rsidR="000F16C4" w:rsidRDefault="000F16C4" w:rsidP="000972AF">
            <w:pPr>
              <w:widowControl w:val="0"/>
              <w:autoSpaceDE w:val="0"/>
              <w:autoSpaceDN w:val="0"/>
              <w:adjustRightInd w:val="0"/>
              <w:spacing w:after="0" w:line="240" w:lineRule="auto"/>
              <w:jc w:val="center"/>
              <w:rPr>
                <w:szCs w:val="24"/>
              </w:rPr>
            </w:pPr>
            <w:r>
              <w:rPr>
                <w:szCs w:val="24"/>
              </w:rPr>
              <w:t>1.13***</w:t>
            </w:r>
          </w:p>
        </w:tc>
        <w:tc>
          <w:tcPr>
            <w:tcW w:w="823" w:type="pct"/>
            <w:tcBorders>
              <w:top w:val="nil"/>
              <w:left w:val="nil"/>
              <w:bottom w:val="nil"/>
              <w:right w:val="nil"/>
            </w:tcBorders>
          </w:tcPr>
          <w:p w14:paraId="2BFC99F2" w14:textId="77777777" w:rsidR="000F16C4" w:rsidRDefault="000F16C4" w:rsidP="000972AF">
            <w:pPr>
              <w:widowControl w:val="0"/>
              <w:autoSpaceDE w:val="0"/>
              <w:autoSpaceDN w:val="0"/>
              <w:adjustRightInd w:val="0"/>
              <w:spacing w:after="0" w:line="240" w:lineRule="auto"/>
              <w:jc w:val="center"/>
              <w:rPr>
                <w:szCs w:val="24"/>
              </w:rPr>
            </w:pPr>
            <w:r>
              <w:rPr>
                <w:szCs w:val="24"/>
              </w:rPr>
              <w:t>1.07*</w:t>
            </w:r>
          </w:p>
        </w:tc>
        <w:tc>
          <w:tcPr>
            <w:tcW w:w="611" w:type="pct"/>
            <w:tcBorders>
              <w:top w:val="nil"/>
              <w:left w:val="nil"/>
              <w:bottom w:val="nil"/>
              <w:right w:val="nil"/>
            </w:tcBorders>
          </w:tcPr>
          <w:p w14:paraId="14AAB561" w14:textId="77777777" w:rsidR="000F16C4" w:rsidRDefault="000F16C4" w:rsidP="000972AF">
            <w:pPr>
              <w:widowControl w:val="0"/>
              <w:autoSpaceDE w:val="0"/>
              <w:autoSpaceDN w:val="0"/>
              <w:adjustRightInd w:val="0"/>
              <w:spacing w:after="0" w:line="240" w:lineRule="auto"/>
              <w:jc w:val="center"/>
              <w:rPr>
                <w:szCs w:val="24"/>
              </w:rPr>
            </w:pPr>
            <w:r>
              <w:rPr>
                <w:szCs w:val="24"/>
              </w:rPr>
              <w:t>1.04</w:t>
            </w:r>
          </w:p>
        </w:tc>
        <w:tc>
          <w:tcPr>
            <w:tcW w:w="853" w:type="pct"/>
            <w:tcBorders>
              <w:top w:val="nil"/>
              <w:left w:val="nil"/>
              <w:bottom w:val="nil"/>
              <w:right w:val="nil"/>
            </w:tcBorders>
          </w:tcPr>
          <w:p w14:paraId="73FD0342" w14:textId="77777777" w:rsidR="000F16C4" w:rsidRDefault="000F16C4" w:rsidP="000972AF">
            <w:pPr>
              <w:widowControl w:val="0"/>
              <w:autoSpaceDE w:val="0"/>
              <w:autoSpaceDN w:val="0"/>
              <w:adjustRightInd w:val="0"/>
              <w:spacing w:after="0" w:line="240" w:lineRule="auto"/>
              <w:jc w:val="center"/>
              <w:rPr>
                <w:szCs w:val="24"/>
              </w:rPr>
            </w:pPr>
            <w:r>
              <w:rPr>
                <w:szCs w:val="24"/>
              </w:rPr>
              <w:t>1.03</w:t>
            </w:r>
          </w:p>
        </w:tc>
        <w:tc>
          <w:tcPr>
            <w:tcW w:w="673" w:type="pct"/>
            <w:tcBorders>
              <w:top w:val="nil"/>
              <w:left w:val="nil"/>
              <w:bottom w:val="nil"/>
              <w:right w:val="nil"/>
            </w:tcBorders>
          </w:tcPr>
          <w:p w14:paraId="4C72DD95" w14:textId="77777777" w:rsidR="000F16C4" w:rsidRDefault="000F16C4" w:rsidP="000972AF">
            <w:pPr>
              <w:widowControl w:val="0"/>
              <w:autoSpaceDE w:val="0"/>
              <w:autoSpaceDN w:val="0"/>
              <w:adjustRightInd w:val="0"/>
              <w:spacing w:after="0" w:line="240" w:lineRule="auto"/>
              <w:jc w:val="center"/>
              <w:rPr>
                <w:szCs w:val="24"/>
              </w:rPr>
            </w:pPr>
            <w:r>
              <w:rPr>
                <w:szCs w:val="24"/>
              </w:rPr>
              <w:t>1.09*</w:t>
            </w:r>
          </w:p>
        </w:tc>
      </w:tr>
      <w:tr w:rsidR="000F16C4" w14:paraId="64BD8006" w14:textId="77777777" w:rsidTr="000972AF">
        <w:trPr>
          <w:jc w:val="center"/>
        </w:trPr>
        <w:tc>
          <w:tcPr>
            <w:tcW w:w="1427" w:type="pct"/>
            <w:tcBorders>
              <w:top w:val="nil"/>
              <w:left w:val="nil"/>
              <w:bottom w:val="nil"/>
              <w:right w:val="nil"/>
            </w:tcBorders>
          </w:tcPr>
          <w:p w14:paraId="6639572D" w14:textId="77777777" w:rsidR="000F16C4" w:rsidRDefault="000F16C4" w:rsidP="000972AF">
            <w:pPr>
              <w:widowControl w:val="0"/>
              <w:autoSpaceDE w:val="0"/>
              <w:autoSpaceDN w:val="0"/>
              <w:adjustRightInd w:val="0"/>
              <w:spacing w:after="0" w:line="240" w:lineRule="auto"/>
              <w:rPr>
                <w:szCs w:val="24"/>
              </w:rPr>
            </w:pPr>
          </w:p>
        </w:tc>
        <w:tc>
          <w:tcPr>
            <w:tcW w:w="613" w:type="pct"/>
            <w:tcBorders>
              <w:top w:val="nil"/>
              <w:left w:val="nil"/>
              <w:bottom w:val="nil"/>
              <w:right w:val="nil"/>
            </w:tcBorders>
          </w:tcPr>
          <w:p w14:paraId="40D2538E" w14:textId="77777777" w:rsidR="000F16C4" w:rsidRDefault="000F16C4" w:rsidP="000972AF">
            <w:pPr>
              <w:widowControl w:val="0"/>
              <w:autoSpaceDE w:val="0"/>
              <w:autoSpaceDN w:val="0"/>
              <w:adjustRightInd w:val="0"/>
              <w:spacing w:after="0" w:line="240" w:lineRule="auto"/>
              <w:jc w:val="center"/>
              <w:rPr>
                <w:szCs w:val="24"/>
              </w:rPr>
            </w:pPr>
            <w:r>
              <w:rPr>
                <w:szCs w:val="24"/>
              </w:rPr>
              <w:t>(0.04)</w:t>
            </w:r>
          </w:p>
        </w:tc>
        <w:tc>
          <w:tcPr>
            <w:tcW w:w="823" w:type="pct"/>
            <w:tcBorders>
              <w:top w:val="nil"/>
              <w:left w:val="nil"/>
              <w:bottom w:val="nil"/>
              <w:right w:val="nil"/>
            </w:tcBorders>
          </w:tcPr>
          <w:p w14:paraId="5FDC523D"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611" w:type="pct"/>
            <w:tcBorders>
              <w:top w:val="nil"/>
              <w:left w:val="nil"/>
              <w:bottom w:val="nil"/>
              <w:right w:val="nil"/>
            </w:tcBorders>
          </w:tcPr>
          <w:p w14:paraId="224BDE54"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853" w:type="pct"/>
            <w:tcBorders>
              <w:top w:val="nil"/>
              <w:left w:val="nil"/>
              <w:bottom w:val="nil"/>
              <w:right w:val="nil"/>
            </w:tcBorders>
          </w:tcPr>
          <w:p w14:paraId="539D1322"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673" w:type="pct"/>
            <w:tcBorders>
              <w:top w:val="nil"/>
              <w:left w:val="nil"/>
              <w:bottom w:val="nil"/>
              <w:right w:val="nil"/>
            </w:tcBorders>
          </w:tcPr>
          <w:p w14:paraId="4BF3D84B" w14:textId="77777777" w:rsidR="000F16C4" w:rsidRDefault="000F16C4" w:rsidP="000972AF">
            <w:pPr>
              <w:widowControl w:val="0"/>
              <w:autoSpaceDE w:val="0"/>
              <w:autoSpaceDN w:val="0"/>
              <w:adjustRightInd w:val="0"/>
              <w:spacing w:after="0" w:line="240" w:lineRule="auto"/>
              <w:jc w:val="center"/>
              <w:rPr>
                <w:szCs w:val="24"/>
              </w:rPr>
            </w:pPr>
            <w:r>
              <w:rPr>
                <w:szCs w:val="24"/>
              </w:rPr>
              <w:t>(0.04)</w:t>
            </w:r>
          </w:p>
        </w:tc>
      </w:tr>
      <w:tr w:rsidR="000F16C4" w14:paraId="41A7FE9C" w14:textId="77777777" w:rsidTr="000972AF">
        <w:trPr>
          <w:jc w:val="center"/>
        </w:trPr>
        <w:tc>
          <w:tcPr>
            <w:tcW w:w="1427" w:type="pct"/>
            <w:tcBorders>
              <w:top w:val="nil"/>
              <w:left w:val="nil"/>
              <w:bottom w:val="nil"/>
              <w:right w:val="nil"/>
            </w:tcBorders>
          </w:tcPr>
          <w:p w14:paraId="54E54AA8" w14:textId="77777777" w:rsidR="000F16C4" w:rsidRDefault="000F16C4" w:rsidP="000972AF">
            <w:pPr>
              <w:widowControl w:val="0"/>
              <w:autoSpaceDE w:val="0"/>
              <w:autoSpaceDN w:val="0"/>
              <w:adjustRightInd w:val="0"/>
              <w:spacing w:after="0" w:line="240" w:lineRule="auto"/>
              <w:rPr>
                <w:szCs w:val="24"/>
              </w:rPr>
            </w:pPr>
            <w:r>
              <w:rPr>
                <w:szCs w:val="24"/>
              </w:rPr>
              <w:t>Small city</w:t>
            </w:r>
          </w:p>
        </w:tc>
        <w:tc>
          <w:tcPr>
            <w:tcW w:w="613" w:type="pct"/>
            <w:tcBorders>
              <w:top w:val="nil"/>
              <w:left w:val="nil"/>
              <w:bottom w:val="nil"/>
              <w:right w:val="nil"/>
            </w:tcBorders>
          </w:tcPr>
          <w:p w14:paraId="7B6DFF1F" w14:textId="77777777" w:rsidR="000F16C4" w:rsidRDefault="000F16C4" w:rsidP="000972AF">
            <w:pPr>
              <w:widowControl w:val="0"/>
              <w:autoSpaceDE w:val="0"/>
              <w:autoSpaceDN w:val="0"/>
              <w:adjustRightInd w:val="0"/>
              <w:spacing w:after="0" w:line="240" w:lineRule="auto"/>
              <w:jc w:val="center"/>
              <w:rPr>
                <w:szCs w:val="24"/>
              </w:rPr>
            </w:pPr>
            <w:r>
              <w:rPr>
                <w:szCs w:val="24"/>
              </w:rPr>
              <w:t>1.13</w:t>
            </w:r>
          </w:p>
        </w:tc>
        <w:tc>
          <w:tcPr>
            <w:tcW w:w="823" w:type="pct"/>
            <w:tcBorders>
              <w:top w:val="nil"/>
              <w:left w:val="nil"/>
              <w:bottom w:val="nil"/>
              <w:right w:val="nil"/>
            </w:tcBorders>
          </w:tcPr>
          <w:p w14:paraId="45E13E46" w14:textId="77777777" w:rsidR="000F16C4" w:rsidRDefault="000F16C4" w:rsidP="000972AF">
            <w:pPr>
              <w:widowControl w:val="0"/>
              <w:autoSpaceDE w:val="0"/>
              <w:autoSpaceDN w:val="0"/>
              <w:adjustRightInd w:val="0"/>
              <w:spacing w:after="0" w:line="240" w:lineRule="auto"/>
              <w:jc w:val="center"/>
              <w:rPr>
                <w:szCs w:val="24"/>
              </w:rPr>
            </w:pPr>
            <w:r>
              <w:rPr>
                <w:szCs w:val="24"/>
              </w:rPr>
              <w:t>1.19</w:t>
            </w:r>
          </w:p>
        </w:tc>
        <w:tc>
          <w:tcPr>
            <w:tcW w:w="611" w:type="pct"/>
            <w:tcBorders>
              <w:top w:val="nil"/>
              <w:left w:val="nil"/>
              <w:bottom w:val="nil"/>
              <w:right w:val="nil"/>
            </w:tcBorders>
          </w:tcPr>
          <w:p w14:paraId="6D1EE090" w14:textId="77777777" w:rsidR="000F16C4" w:rsidRDefault="000F16C4" w:rsidP="000972AF">
            <w:pPr>
              <w:widowControl w:val="0"/>
              <w:autoSpaceDE w:val="0"/>
              <w:autoSpaceDN w:val="0"/>
              <w:adjustRightInd w:val="0"/>
              <w:spacing w:after="0" w:line="240" w:lineRule="auto"/>
              <w:jc w:val="center"/>
              <w:rPr>
                <w:szCs w:val="24"/>
              </w:rPr>
            </w:pPr>
            <w:r>
              <w:rPr>
                <w:szCs w:val="24"/>
              </w:rPr>
              <w:t>0.91</w:t>
            </w:r>
          </w:p>
        </w:tc>
        <w:tc>
          <w:tcPr>
            <w:tcW w:w="853" w:type="pct"/>
            <w:tcBorders>
              <w:top w:val="nil"/>
              <w:left w:val="nil"/>
              <w:bottom w:val="nil"/>
              <w:right w:val="nil"/>
            </w:tcBorders>
          </w:tcPr>
          <w:p w14:paraId="5499EC0C" w14:textId="77777777" w:rsidR="000F16C4" w:rsidRDefault="000F16C4" w:rsidP="000972AF">
            <w:pPr>
              <w:widowControl w:val="0"/>
              <w:autoSpaceDE w:val="0"/>
              <w:autoSpaceDN w:val="0"/>
              <w:adjustRightInd w:val="0"/>
              <w:spacing w:after="0" w:line="240" w:lineRule="auto"/>
              <w:jc w:val="center"/>
              <w:rPr>
                <w:szCs w:val="24"/>
              </w:rPr>
            </w:pPr>
            <w:r>
              <w:rPr>
                <w:szCs w:val="24"/>
              </w:rPr>
              <w:t>1.03</w:t>
            </w:r>
          </w:p>
        </w:tc>
        <w:tc>
          <w:tcPr>
            <w:tcW w:w="673" w:type="pct"/>
            <w:tcBorders>
              <w:top w:val="nil"/>
              <w:left w:val="nil"/>
              <w:bottom w:val="nil"/>
              <w:right w:val="nil"/>
            </w:tcBorders>
          </w:tcPr>
          <w:p w14:paraId="30016C64" w14:textId="77777777" w:rsidR="000F16C4" w:rsidRDefault="000F16C4" w:rsidP="000972AF">
            <w:pPr>
              <w:widowControl w:val="0"/>
              <w:autoSpaceDE w:val="0"/>
              <w:autoSpaceDN w:val="0"/>
              <w:adjustRightInd w:val="0"/>
              <w:spacing w:after="0" w:line="240" w:lineRule="auto"/>
              <w:jc w:val="center"/>
              <w:rPr>
                <w:szCs w:val="24"/>
              </w:rPr>
            </w:pPr>
            <w:r>
              <w:rPr>
                <w:szCs w:val="24"/>
              </w:rPr>
              <w:t>1.01</w:t>
            </w:r>
          </w:p>
        </w:tc>
      </w:tr>
      <w:tr w:rsidR="000F16C4" w14:paraId="0F2BB2F3" w14:textId="77777777" w:rsidTr="000972AF">
        <w:trPr>
          <w:jc w:val="center"/>
        </w:trPr>
        <w:tc>
          <w:tcPr>
            <w:tcW w:w="1427" w:type="pct"/>
            <w:tcBorders>
              <w:top w:val="nil"/>
              <w:left w:val="nil"/>
              <w:bottom w:val="nil"/>
              <w:right w:val="nil"/>
            </w:tcBorders>
          </w:tcPr>
          <w:p w14:paraId="64DF8F0C" w14:textId="77777777" w:rsidR="000F16C4" w:rsidRDefault="000F16C4" w:rsidP="000972AF">
            <w:pPr>
              <w:widowControl w:val="0"/>
              <w:autoSpaceDE w:val="0"/>
              <w:autoSpaceDN w:val="0"/>
              <w:adjustRightInd w:val="0"/>
              <w:spacing w:after="0" w:line="240" w:lineRule="auto"/>
              <w:rPr>
                <w:szCs w:val="24"/>
              </w:rPr>
            </w:pPr>
          </w:p>
        </w:tc>
        <w:tc>
          <w:tcPr>
            <w:tcW w:w="613" w:type="pct"/>
            <w:tcBorders>
              <w:top w:val="nil"/>
              <w:left w:val="nil"/>
              <w:bottom w:val="nil"/>
              <w:right w:val="nil"/>
            </w:tcBorders>
          </w:tcPr>
          <w:p w14:paraId="6F7F9A2B" w14:textId="77777777" w:rsidR="000F16C4" w:rsidRDefault="000F16C4" w:rsidP="000972AF">
            <w:pPr>
              <w:widowControl w:val="0"/>
              <w:autoSpaceDE w:val="0"/>
              <w:autoSpaceDN w:val="0"/>
              <w:adjustRightInd w:val="0"/>
              <w:spacing w:after="0" w:line="240" w:lineRule="auto"/>
              <w:jc w:val="center"/>
              <w:rPr>
                <w:szCs w:val="24"/>
              </w:rPr>
            </w:pPr>
            <w:r>
              <w:rPr>
                <w:szCs w:val="24"/>
              </w:rPr>
              <w:t>(0.12)</w:t>
            </w:r>
          </w:p>
        </w:tc>
        <w:tc>
          <w:tcPr>
            <w:tcW w:w="823" w:type="pct"/>
            <w:tcBorders>
              <w:top w:val="nil"/>
              <w:left w:val="nil"/>
              <w:bottom w:val="nil"/>
              <w:right w:val="nil"/>
            </w:tcBorders>
          </w:tcPr>
          <w:p w14:paraId="0D4A6985" w14:textId="77777777" w:rsidR="000F16C4" w:rsidRDefault="000F16C4" w:rsidP="000972AF">
            <w:pPr>
              <w:widowControl w:val="0"/>
              <w:autoSpaceDE w:val="0"/>
              <w:autoSpaceDN w:val="0"/>
              <w:adjustRightInd w:val="0"/>
              <w:spacing w:after="0" w:line="240" w:lineRule="auto"/>
              <w:jc w:val="center"/>
              <w:rPr>
                <w:szCs w:val="24"/>
              </w:rPr>
            </w:pPr>
            <w:r>
              <w:rPr>
                <w:szCs w:val="24"/>
              </w:rPr>
              <w:t>(0.13)</w:t>
            </w:r>
          </w:p>
        </w:tc>
        <w:tc>
          <w:tcPr>
            <w:tcW w:w="611" w:type="pct"/>
            <w:tcBorders>
              <w:top w:val="nil"/>
              <w:left w:val="nil"/>
              <w:bottom w:val="nil"/>
              <w:right w:val="nil"/>
            </w:tcBorders>
          </w:tcPr>
          <w:p w14:paraId="7ABEDD91" w14:textId="77777777" w:rsidR="000F16C4" w:rsidRDefault="000F16C4" w:rsidP="000972AF">
            <w:pPr>
              <w:widowControl w:val="0"/>
              <w:autoSpaceDE w:val="0"/>
              <w:autoSpaceDN w:val="0"/>
              <w:adjustRightInd w:val="0"/>
              <w:spacing w:after="0" w:line="240" w:lineRule="auto"/>
              <w:jc w:val="center"/>
              <w:rPr>
                <w:szCs w:val="24"/>
              </w:rPr>
            </w:pPr>
            <w:r>
              <w:rPr>
                <w:szCs w:val="24"/>
              </w:rPr>
              <w:t>(0.09)</w:t>
            </w:r>
          </w:p>
        </w:tc>
        <w:tc>
          <w:tcPr>
            <w:tcW w:w="853" w:type="pct"/>
            <w:tcBorders>
              <w:top w:val="nil"/>
              <w:left w:val="nil"/>
              <w:bottom w:val="nil"/>
              <w:right w:val="nil"/>
            </w:tcBorders>
          </w:tcPr>
          <w:p w14:paraId="0747041B" w14:textId="77777777" w:rsidR="000F16C4" w:rsidRDefault="000F16C4" w:rsidP="000972AF">
            <w:pPr>
              <w:widowControl w:val="0"/>
              <w:autoSpaceDE w:val="0"/>
              <w:autoSpaceDN w:val="0"/>
              <w:adjustRightInd w:val="0"/>
              <w:spacing w:after="0" w:line="240" w:lineRule="auto"/>
              <w:jc w:val="center"/>
              <w:rPr>
                <w:szCs w:val="24"/>
              </w:rPr>
            </w:pPr>
            <w:r>
              <w:rPr>
                <w:szCs w:val="24"/>
              </w:rPr>
              <w:t>(0.10)</w:t>
            </w:r>
          </w:p>
        </w:tc>
        <w:tc>
          <w:tcPr>
            <w:tcW w:w="673" w:type="pct"/>
            <w:tcBorders>
              <w:top w:val="nil"/>
              <w:left w:val="nil"/>
              <w:bottom w:val="nil"/>
              <w:right w:val="nil"/>
            </w:tcBorders>
          </w:tcPr>
          <w:p w14:paraId="4A75402C" w14:textId="77777777" w:rsidR="000F16C4" w:rsidRDefault="000F16C4" w:rsidP="000972AF">
            <w:pPr>
              <w:widowControl w:val="0"/>
              <w:autoSpaceDE w:val="0"/>
              <w:autoSpaceDN w:val="0"/>
              <w:adjustRightInd w:val="0"/>
              <w:spacing w:after="0" w:line="240" w:lineRule="auto"/>
              <w:jc w:val="center"/>
              <w:rPr>
                <w:szCs w:val="24"/>
              </w:rPr>
            </w:pPr>
            <w:r>
              <w:rPr>
                <w:szCs w:val="24"/>
              </w:rPr>
              <w:t>(0.10)</w:t>
            </w:r>
          </w:p>
        </w:tc>
      </w:tr>
      <w:tr w:rsidR="000F16C4" w14:paraId="0B5DD659" w14:textId="77777777" w:rsidTr="000972AF">
        <w:trPr>
          <w:jc w:val="center"/>
        </w:trPr>
        <w:tc>
          <w:tcPr>
            <w:tcW w:w="1427" w:type="pct"/>
            <w:tcBorders>
              <w:top w:val="nil"/>
              <w:left w:val="nil"/>
              <w:bottom w:val="nil"/>
              <w:right w:val="nil"/>
            </w:tcBorders>
          </w:tcPr>
          <w:p w14:paraId="1A7CDB63" w14:textId="77777777" w:rsidR="000F16C4" w:rsidRDefault="000F16C4" w:rsidP="000972AF">
            <w:pPr>
              <w:widowControl w:val="0"/>
              <w:autoSpaceDE w:val="0"/>
              <w:autoSpaceDN w:val="0"/>
              <w:adjustRightInd w:val="0"/>
              <w:spacing w:after="0" w:line="240" w:lineRule="auto"/>
              <w:rPr>
                <w:szCs w:val="24"/>
              </w:rPr>
            </w:pPr>
            <w:r>
              <w:rPr>
                <w:szCs w:val="24"/>
              </w:rPr>
              <w:t>Medium city</w:t>
            </w:r>
          </w:p>
        </w:tc>
        <w:tc>
          <w:tcPr>
            <w:tcW w:w="613" w:type="pct"/>
            <w:tcBorders>
              <w:top w:val="nil"/>
              <w:left w:val="nil"/>
              <w:bottom w:val="nil"/>
              <w:right w:val="nil"/>
            </w:tcBorders>
          </w:tcPr>
          <w:p w14:paraId="42F926E7" w14:textId="77777777" w:rsidR="000F16C4" w:rsidRDefault="000F16C4" w:rsidP="000972AF">
            <w:pPr>
              <w:widowControl w:val="0"/>
              <w:autoSpaceDE w:val="0"/>
              <w:autoSpaceDN w:val="0"/>
              <w:adjustRightInd w:val="0"/>
              <w:spacing w:after="0" w:line="240" w:lineRule="auto"/>
              <w:jc w:val="center"/>
              <w:rPr>
                <w:szCs w:val="24"/>
              </w:rPr>
            </w:pPr>
            <w:r>
              <w:rPr>
                <w:szCs w:val="24"/>
              </w:rPr>
              <w:t>1.22+</w:t>
            </w:r>
          </w:p>
        </w:tc>
        <w:tc>
          <w:tcPr>
            <w:tcW w:w="823" w:type="pct"/>
            <w:tcBorders>
              <w:top w:val="nil"/>
              <w:left w:val="nil"/>
              <w:bottom w:val="nil"/>
              <w:right w:val="nil"/>
            </w:tcBorders>
          </w:tcPr>
          <w:p w14:paraId="6B563FC3" w14:textId="77777777" w:rsidR="000F16C4" w:rsidRDefault="000F16C4" w:rsidP="000972AF">
            <w:pPr>
              <w:widowControl w:val="0"/>
              <w:autoSpaceDE w:val="0"/>
              <w:autoSpaceDN w:val="0"/>
              <w:adjustRightInd w:val="0"/>
              <w:spacing w:after="0" w:line="240" w:lineRule="auto"/>
              <w:jc w:val="center"/>
              <w:rPr>
                <w:szCs w:val="24"/>
              </w:rPr>
            </w:pPr>
            <w:r>
              <w:rPr>
                <w:szCs w:val="24"/>
              </w:rPr>
              <w:t>1.23+</w:t>
            </w:r>
          </w:p>
        </w:tc>
        <w:tc>
          <w:tcPr>
            <w:tcW w:w="611" w:type="pct"/>
            <w:tcBorders>
              <w:top w:val="nil"/>
              <w:left w:val="nil"/>
              <w:bottom w:val="nil"/>
              <w:right w:val="nil"/>
            </w:tcBorders>
          </w:tcPr>
          <w:p w14:paraId="66D8FF7E" w14:textId="77777777" w:rsidR="000F16C4" w:rsidRDefault="000F16C4" w:rsidP="000972AF">
            <w:pPr>
              <w:widowControl w:val="0"/>
              <w:autoSpaceDE w:val="0"/>
              <w:autoSpaceDN w:val="0"/>
              <w:adjustRightInd w:val="0"/>
              <w:spacing w:after="0" w:line="240" w:lineRule="auto"/>
              <w:jc w:val="center"/>
              <w:rPr>
                <w:szCs w:val="24"/>
              </w:rPr>
            </w:pPr>
            <w:r>
              <w:rPr>
                <w:szCs w:val="24"/>
              </w:rPr>
              <w:t>1.00</w:t>
            </w:r>
          </w:p>
        </w:tc>
        <w:tc>
          <w:tcPr>
            <w:tcW w:w="853" w:type="pct"/>
            <w:tcBorders>
              <w:top w:val="nil"/>
              <w:left w:val="nil"/>
              <w:bottom w:val="nil"/>
              <w:right w:val="nil"/>
            </w:tcBorders>
          </w:tcPr>
          <w:p w14:paraId="2DCE7518" w14:textId="77777777" w:rsidR="000F16C4" w:rsidRDefault="000F16C4" w:rsidP="000972AF">
            <w:pPr>
              <w:widowControl w:val="0"/>
              <w:autoSpaceDE w:val="0"/>
              <w:autoSpaceDN w:val="0"/>
              <w:adjustRightInd w:val="0"/>
              <w:spacing w:after="0" w:line="240" w:lineRule="auto"/>
              <w:jc w:val="center"/>
              <w:rPr>
                <w:szCs w:val="24"/>
              </w:rPr>
            </w:pPr>
            <w:r>
              <w:rPr>
                <w:szCs w:val="24"/>
              </w:rPr>
              <w:t>1.08</w:t>
            </w:r>
          </w:p>
        </w:tc>
        <w:tc>
          <w:tcPr>
            <w:tcW w:w="673" w:type="pct"/>
            <w:tcBorders>
              <w:top w:val="nil"/>
              <w:left w:val="nil"/>
              <w:bottom w:val="nil"/>
              <w:right w:val="nil"/>
            </w:tcBorders>
          </w:tcPr>
          <w:p w14:paraId="646ED7E8" w14:textId="77777777" w:rsidR="000F16C4" w:rsidRDefault="000F16C4" w:rsidP="000972AF">
            <w:pPr>
              <w:widowControl w:val="0"/>
              <w:autoSpaceDE w:val="0"/>
              <w:autoSpaceDN w:val="0"/>
              <w:adjustRightInd w:val="0"/>
              <w:spacing w:after="0" w:line="240" w:lineRule="auto"/>
              <w:jc w:val="center"/>
              <w:rPr>
                <w:szCs w:val="24"/>
              </w:rPr>
            </w:pPr>
            <w:r>
              <w:rPr>
                <w:szCs w:val="24"/>
              </w:rPr>
              <w:t>1.09</w:t>
            </w:r>
          </w:p>
        </w:tc>
      </w:tr>
      <w:tr w:rsidR="000F16C4" w14:paraId="15225DF6" w14:textId="77777777" w:rsidTr="000972AF">
        <w:trPr>
          <w:jc w:val="center"/>
        </w:trPr>
        <w:tc>
          <w:tcPr>
            <w:tcW w:w="1427" w:type="pct"/>
            <w:tcBorders>
              <w:top w:val="nil"/>
              <w:left w:val="nil"/>
              <w:bottom w:val="nil"/>
              <w:right w:val="nil"/>
            </w:tcBorders>
          </w:tcPr>
          <w:p w14:paraId="29F4B980" w14:textId="77777777" w:rsidR="000F16C4" w:rsidRDefault="000F16C4" w:rsidP="000972AF">
            <w:pPr>
              <w:widowControl w:val="0"/>
              <w:autoSpaceDE w:val="0"/>
              <w:autoSpaceDN w:val="0"/>
              <w:adjustRightInd w:val="0"/>
              <w:spacing w:after="0" w:line="240" w:lineRule="auto"/>
              <w:rPr>
                <w:szCs w:val="24"/>
              </w:rPr>
            </w:pPr>
          </w:p>
        </w:tc>
        <w:tc>
          <w:tcPr>
            <w:tcW w:w="613" w:type="pct"/>
            <w:tcBorders>
              <w:top w:val="nil"/>
              <w:left w:val="nil"/>
              <w:bottom w:val="nil"/>
              <w:right w:val="nil"/>
            </w:tcBorders>
          </w:tcPr>
          <w:p w14:paraId="2C7D1A93" w14:textId="77777777" w:rsidR="000F16C4" w:rsidRDefault="000F16C4" w:rsidP="000972AF">
            <w:pPr>
              <w:widowControl w:val="0"/>
              <w:autoSpaceDE w:val="0"/>
              <w:autoSpaceDN w:val="0"/>
              <w:adjustRightInd w:val="0"/>
              <w:spacing w:after="0" w:line="240" w:lineRule="auto"/>
              <w:jc w:val="center"/>
              <w:rPr>
                <w:szCs w:val="24"/>
              </w:rPr>
            </w:pPr>
            <w:r>
              <w:rPr>
                <w:szCs w:val="24"/>
              </w:rPr>
              <w:t>(0.14)</w:t>
            </w:r>
          </w:p>
        </w:tc>
        <w:tc>
          <w:tcPr>
            <w:tcW w:w="823" w:type="pct"/>
            <w:tcBorders>
              <w:top w:val="nil"/>
              <w:left w:val="nil"/>
              <w:bottom w:val="nil"/>
              <w:right w:val="nil"/>
            </w:tcBorders>
          </w:tcPr>
          <w:p w14:paraId="56714049" w14:textId="77777777" w:rsidR="000F16C4" w:rsidRDefault="000F16C4" w:rsidP="000972AF">
            <w:pPr>
              <w:widowControl w:val="0"/>
              <w:autoSpaceDE w:val="0"/>
              <w:autoSpaceDN w:val="0"/>
              <w:adjustRightInd w:val="0"/>
              <w:spacing w:after="0" w:line="240" w:lineRule="auto"/>
              <w:jc w:val="center"/>
              <w:rPr>
                <w:szCs w:val="24"/>
              </w:rPr>
            </w:pPr>
            <w:r>
              <w:rPr>
                <w:szCs w:val="24"/>
              </w:rPr>
              <w:t>(0.15)</w:t>
            </w:r>
          </w:p>
        </w:tc>
        <w:tc>
          <w:tcPr>
            <w:tcW w:w="611" w:type="pct"/>
            <w:tcBorders>
              <w:top w:val="nil"/>
              <w:left w:val="nil"/>
              <w:bottom w:val="nil"/>
              <w:right w:val="nil"/>
            </w:tcBorders>
          </w:tcPr>
          <w:p w14:paraId="51BC03EA" w14:textId="77777777" w:rsidR="000F16C4" w:rsidRDefault="000F16C4" w:rsidP="000972AF">
            <w:pPr>
              <w:widowControl w:val="0"/>
              <w:autoSpaceDE w:val="0"/>
              <w:autoSpaceDN w:val="0"/>
              <w:adjustRightInd w:val="0"/>
              <w:spacing w:after="0" w:line="240" w:lineRule="auto"/>
              <w:jc w:val="center"/>
              <w:rPr>
                <w:szCs w:val="24"/>
              </w:rPr>
            </w:pPr>
            <w:r>
              <w:rPr>
                <w:szCs w:val="24"/>
              </w:rPr>
              <w:t>(0.11)</w:t>
            </w:r>
          </w:p>
        </w:tc>
        <w:tc>
          <w:tcPr>
            <w:tcW w:w="853" w:type="pct"/>
            <w:tcBorders>
              <w:top w:val="nil"/>
              <w:left w:val="nil"/>
              <w:bottom w:val="nil"/>
              <w:right w:val="nil"/>
            </w:tcBorders>
          </w:tcPr>
          <w:p w14:paraId="34EF0837" w14:textId="77777777" w:rsidR="000F16C4" w:rsidRDefault="000F16C4" w:rsidP="000972AF">
            <w:pPr>
              <w:widowControl w:val="0"/>
              <w:autoSpaceDE w:val="0"/>
              <w:autoSpaceDN w:val="0"/>
              <w:adjustRightInd w:val="0"/>
              <w:spacing w:after="0" w:line="240" w:lineRule="auto"/>
              <w:jc w:val="center"/>
              <w:rPr>
                <w:szCs w:val="24"/>
              </w:rPr>
            </w:pPr>
            <w:r>
              <w:rPr>
                <w:szCs w:val="24"/>
              </w:rPr>
              <w:t>(0.12)</w:t>
            </w:r>
          </w:p>
        </w:tc>
        <w:tc>
          <w:tcPr>
            <w:tcW w:w="673" w:type="pct"/>
            <w:tcBorders>
              <w:top w:val="nil"/>
              <w:left w:val="nil"/>
              <w:bottom w:val="nil"/>
              <w:right w:val="nil"/>
            </w:tcBorders>
          </w:tcPr>
          <w:p w14:paraId="511B0883" w14:textId="77777777" w:rsidR="000F16C4" w:rsidRDefault="000F16C4" w:rsidP="000972AF">
            <w:pPr>
              <w:widowControl w:val="0"/>
              <w:autoSpaceDE w:val="0"/>
              <w:autoSpaceDN w:val="0"/>
              <w:adjustRightInd w:val="0"/>
              <w:spacing w:after="0" w:line="240" w:lineRule="auto"/>
              <w:jc w:val="center"/>
              <w:rPr>
                <w:szCs w:val="24"/>
              </w:rPr>
            </w:pPr>
            <w:r>
              <w:rPr>
                <w:szCs w:val="24"/>
              </w:rPr>
              <w:t>(0.12)</w:t>
            </w:r>
          </w:p>
        </w:tc>
      </w:tr>
      <w:tr w:rsidR="000F16C4" w14:paraId="1FF8F80C" w14:textId="77777777" w:rsidTr="000972AF">
        <w:trPr>
          <w:jc w:val="center"/>
        </w:trPr>
        <w:tc>
          <w:tcPr>
            <w:tcW w:w="1427" w:type="pct"/>
            <w:tcBorders>
              <w:top w:val="nil"/>
              <w:left w:val="nil"/>
              <w:bottom w:val="nil"/>
              <w:right w:val="nil"/>
            </w:tcBorders>
          </w:tcPr>
          <w:p w14:paraId="627B6E12" w14:textId="77777777" w:rsidR="000F16C4" w:rsidRDefault="000F16C4" w:rsidP="000972AF">
            <w:pPr>
              <w:widowControl w:val="0"/>
              <w:autoSpaceDE w:val="0"/>
              <w:autoSpaceDN w:val="0"/>
              <w:adjustRightInd w:val="0"/>
              <w:spacing w:after="0" w:line="240" w:lineRule="auto"/>
              <w:rPr>
                <w:szCs w:val="24"/>
              </w:rPr>
            </w:pPr>
            <w:r>
              <w:rPr>
                <w:szCs w:val="24"/>
              </w:rPr>
              <w:t>Big city</w:t>
            </w:r>
          </w:p>
        </w:tc>
        <w:tc>
          <w:tcPr>
            <w:tcW w:w="613" w:type="pct"/>
            <w:tcBorders>
              <w:top w:val="nil"/>
              <w:left w:val="nil"/>
              <w:bottom w:val="nil"/>
              <w:right w:val="nil"/>
            </w:tcBorders>
          </w:tcPr>
          <w:p w14:paraId="343AA239" w14:textId="77777777" w:rsidR="000F16C4" w:rsidRDefault="000F16C4" w:rsidP="000972AF">
            <w:pPr>
              <w:widowControl w:val="0"/>
              <w:autoSpaceDE w:val="0"/>
              <w:autoSpaceDN w:val="0"/>
              <w:adjustRightInd w:val="0"/>
              <w:spacing w:after="0" w:line="240" w:lineRule="auto"/>
              <w:jc w:val="center"/>
              <w:rPr>
                <w:szCs w:val="24"/>
              </w:rPr>
            </w:pPr>
            <w:r>
              <w:rPr>
                <w:szCs w:val="24"/>
              </w:rPr>
              <w:t>1.28*</w:t>
            </w:r>
          </w:p>
        </w:tc>
        <w:tc>
          <w:tcPr>
            <w:tcW w:w="823" w:type="pct"/>
            <w:tcBorders>
              <w:top w:val="nil"/>
              <w:left w:val="nil"/>
              <w:bottom w:val="nil"/>
              <w:right w:val="nil"/>
            </w:tcBorders>
          </w:tcPr>
          <w:p w14:paraId="486E3DF2" w14:textId="77777777" w:rsidR="000F16C4" w:rsidRDefault="000F16C4" w:rsidP="000972AF">
            <w:pPr>
              <w:widowControl w:val="0"/>
              <w:autoSpaceDE w:val="0"/>
              <w:autoSpaceDN w:val="0"/>
              <w:adjustRightInd w:val="0"/>
              <w:spacing w:after="0" w:line="240" w:lineRule="auto"/>
              <w:jc w:val="center"/>
              <w:rPr>
                <w:szCs w:val="24"/>
              </w:rPr>
            </w:pPr>
            <w:r>
              <w:rPr>
                <w:szCs w:val="24"/>
              </w:rPr>
              <w:t>1.24+</w:t>
            </w:r>
          </w:p>
        </w:tc>
        <w:tc>
          <w:tcPr>
            <w:tcW w:w="611" w:type="pct"/>
            <w:tcBorders>
              <w:top w:val="nil"/>
              <w:left w:val="nil"/>
              <w:bottom w:val="nil"/>
              <w:right w:val="nil"/>
            </w:tcBorders>
          </w:tcPr>
          <w:p w14:paraId="484B5391" w14:textId="77777777" w:rsidR="000F16C4" w:rsidRDefault="000F16C4" w:rsidP="000972AF">
            <w:pPr>
              <w:widowControl w:val="0"/>
              <w:autoSpaceDE w:val="0"/>
              <w:autoSpaceDN w:val="0"/>
              <w:adjustRightInd w:val="0"/>
              <w:spacing w:after="0" w:line="240" w:lineRule="auto"/>
              <w:jc w:val="center"/>
              <w:rPr>
                <w:szCs w:val="24"/>
              </w:rPr>
            </w:pPr>
            <w:r>
              <w:rPr>
                <w:szCs w:val="24"/>
              </w:rPr>
              <w:t>0.88</w:t>
            </w:r>
          </w:p>
        </w:tc>
        <w:tc>
          <w:tcPr>
            <w:tcW w:w="853" w:type="pct"/>
            <w:tcBorders>
              <w:top w:val="nil"/>
              <w:left w:val="nil"/>
              <w:bottom w:val="nil"/>
              <w:right w:val="nil"/>
            </w:tcBorders>
          </w:tcPr>
          <w:p w14:paraId="0CD1B5AD" w14:textId="77777777" w:rsidR="000F16C4" w:rsidRDefault="000F16C4" w:rsidP="000972AF">
            <w:pPr>
              <w:widowControl w:val="0"/>
              <w:autoSpaceDE w:val="0"/>
              <w:autoSpaceDN w:val="0"/>
              <w:adjustRightInd w:val="0"/>
              <w:spacing w:after="0" w:line="240" w:lineRule="auto"/>
              <w:jc w:val="center"/>
              <w:rPr>
                <w:szCs w:val="24"/>
              </w:rPr>
            </w:pPr>
            <w:r>
              <w:rPr>
                <w:szCs w:val="24"/>
              </w:rPr>
              <w:t>0.94</w:t>
            </w:r>
          </w:p>
        </w:tc>
        <w:tc>
          <w:tcPr>
            <w:tcW w:w="673" w:type="pct"/>
            <w:tcBorders>
              <w:top w:val="nil"/>
              <w:left w:val="nil"/>
              <w:bottom w:val="nil"/>
              <w:right w:val="nil"/>
            </w:tcBorders>
          </w:tcPr>
          <w:p w14:paraId="643352B6" w14:textId="77777777" w:rsidR="000F16C4" w:rsidRDefault="000F16C4" w:rsidP="000972AF">
            <w:pPr>
              <w:widowControl w:val="0"/>
              <w:autoSpaceDE w:val="0"/>
              <w:autoSpaceDN w:val="0"/>
              <w:adjustRightInd w:val="0"/>
              <w:spacing w:after="0" w:line="240" w:lineRule="auto"/>
              <w:jc w:val="center"/>
              <w:rPr>
                <w:szCs w:val="24"/>
              </w:rPr>
            </w:pPr>
            <w:r>
              <w:rPr>
                <w:szCs w:val="24"/>
              </w:rPr>
              <w:t>1.05</w:t>
            </w:r>
          </w:p>
        </w:tc>
      </w:tr>
      <w:tr w:rsidR="000F16C4" w14:paraId="2096B6CA" w14:textId="77777777" w:rsidTr="000972AF">
        <w:trPr>
          <w:jc w:val="center"/>
        </w:trPr>
        <w:tc>
          <w:tcPr>
            <w:tcW w:w="1427" w:type="pct"/>
            <w:tcBorders>
              <w:top w:val="nil"/>
              <w:left w:val="nil"/>
              <w:bottom w:val="nil"/>
              <w:right w:val="nil"/>
            </w:tcBorders>
          </w:tcPr>
          <w:p w14:paraId="2D50955D" w14:textId="77777777" w:rsidR="000F16C4" w:rsidRDefault="000F16C4" w:rsidP="000972AF">
            <w:pPr>
              <w:widowControl w:val="0"/>
              <w:autoSpaceDE w:val="0"/>
              <w:autoSpaceDN w:val="0"/>
              <w:adjustRightInd w:val="0"/>
              <w:spacing w:after="0" w:line="240" w:lineRule="auto"/>
              <w:rPr>
                <w:szCs w:val="24"/>
              </w:rPr>
            </w:pPr>
          </w:p>
        </w:tc>
        <w:tc>
          <w:tcPr>
            <w:tcW w:w="613" w:type="pct"/>
            <w:tcBorders>
              <w:top w:val="nil"/>
              <w:left w:val="nil"/>
              <w:bottom w:val="nil"/>
              <w:right w:val="nil"/>
            </w:tcBorders>
          </w:tcPr>
          <w:p w14:paraId="077EE2B0" w14:textId="77777777" w:rsidR="000F16C4" w:rsidRDefault="000F16C4" w:rsidP="000972AF">
            <w:pPr>
              <w:widowControl w:val="0"/>
              <w:autoSpaceDE w:val="0"/>
              <w:autoSpaceDN w:val="0"/>
              <w:adjustRightInd w:val="0"/>
              <w:spacing w:after="0" w:line="240" w:lineRule="auto"/>
              <w:jc w:val="center"/>
              <w:rPr>
                <w:szCs w:val="24"/>
              </w:rPr>
            </w:pPr>
            <w:r>
              <w:rPr>
                <w:szCs w:val="24"/>
              </w:rPr>
              <w:t>(0.15)</w:t>
            </w:r>
          </w:p>
        </w:tc>
        <w:tc>
          <w:tcPr>
            <w:tcW w:w="823" w:type="pct"/>
            <w:tcBorders>
              <w:top w:val="nil"/>
              <w:left w:val="nil"/>
              <w:bottom w:val="nil"/>
              <w:right w:val="nil"/>
            </w:tcBorders>
          </w:tcPr>
          <w:p w14:paraId="29CB1B82" w14:textId="77777777" w:rsidR="000F16C4" w:rsidRDefault="000F16C4" w:rsidP="000972AF">
            <w:pPr>
              <w:widowControl w:val="0"/>
              <w:autoSpaceDE w:val="0"/>
              <w:autoSpaceDN w:val="0"/>
              <w:adjustRightInd w:val="0"/>
              <w:spacing w:after="0" w:line="240" w:lineRule="auto"/>
              <w:jc w:val="center"/>
              <w:rPr>
                <w:szCs w:val="24"/>
              </w:rPr>
            </w:pPr>
            <w:r>
              <w:rPr>
                <w:szCs w:val="24"/>
              </w:rPr>
              <w:t>(0.16)</w:t>
            </w:r>
          </w:p>
        </w:tc>
        <w:tc>
          <w:tcPr>
            <w:tcW w:w="611" w:type="pct"/>
            <w:tcBorders>
              <w:top w:val="nil"/>
              <w:left w:val="nil"/>
              <w:bottom w:val="nil"/>
              <w:right w:val="nil"/>
            </w:tcBorders>
          </w:tcPr>
          <w:p w14:paraId="6FEB0C16" w14:textId="77777777" w:rsidR="000F16C4" w:rsidRDefault="000F16C4" w:rsidP="000972AF">
            <w:pPr>
              <w:widowControl w:val="0"/>
              <w:autoSpaceDE w:val="0"/>
              <w:autoSpaceDN w:val="0"/>
              <w:adjustRightInd w:val="0"/>
              <w:spacing w:after="0" w:line="240" w:lineRule="auto"/>
              <w:jc w:val="center"/>
              <w:rPr>
                <w:szCs w:val="24"/>
              </w:rPr>
            </w:pPr>
            <w:r>
              <w:rPr>
                <w:szCs w:val="24"/>
              </w:rPr>
              <w:t>(0.10)</w:t>
            </w:r>
          </w:p>
        </w:tc>
        <w:tc>
          <w:tcPr>
            <w:tcW w:w="853" w:type="pct"/>
            <w:tcBorders>
              <w:top w:val="nil"/>
              <w:left w:val="nil"/>
              <w:bottom w:val="nil"/>
              <w:right w:val="nil"/>
            </w:tcBorders>
          </w:tcPr>
          <w:p w14:paraId="273B9B3C" w14:textId="77777777" w:rsidR="000F16C4" w:rsidRDefault="000F16C4" w:rsidP="000972AF">
            <w:pPr>
              <w:widowControl w:val="0"/>
              <w:autoSpaceDE w:val="0"/>
              <w:autoSpaceDN w:val="0"/>
              <w:adjustRightInd w:val="0"/>
              <w:spacing w:after="0" w:line="240" w:lineRule="auto"/>
              <w:jc w:val="center"/>
              <w:rPr>
                <w:szCs w:val="24"/>
              </w:rPr>
            </w:pPr>
            <w:r>
              <w:rPr>
                <w:szCs w:val="24"/>
              </w:rPr>
              <w:t>(0.10)</w:t>
            </w:r>
          </w:p>
        </w:tc>
        <w:tc>
          <w:tcPr>
            <w:tcW w:w="673" w:type="pct"/>
            <w:tcBorders>
              <w:top w:val="nil"/>
              <w:left w:val="nil"/>
              <w:bottom w:val="nil"/>
              <w:right w:val="nil"/>
            </w:tcBorders>
          </w:tcPr>
          <w:p w14:paraId="34BF0E5C" w14:textId="77777777" w:rsidR="000F16C4" w:rsidRDefault="000F16C4" w:rsidP="000972AF">
            <w:pPr>
              <w:widowControl w:val="0"/>
              <w:autoSpaceDE w:val="0"/>
              <w:autoSpaceDN w:val="0"/>
              <w:adjustRightInd w:val="0"/>
              <w:spacing w:after="0" w:line="240" w:lineRule="auto"/>
              <w:jc w:val="center"/>
              <w:rPr>
                <w:szCs w:val="24"/>
              </w:rPr>
            </w:pPr>
            <w:r>
              <w:rPr>
                <w:szCs w:val="24"/>
              </w:rPr>
              <w:t>(0.12)</w:t>
            </w:r>
          </w:p>
        </w:tc>
      </w:tr>
      <w:tr w:rsidR="000F16C4" w14:paraId="38F3C271" w14:textId="77777777" w:rsidTr="000972AF">
        <w:trPr>
          <w:jc w:val="center"/>
        </w:trPr>
        <w:tc>
          <w:tcPr>
            <w:tcW w:w="1427" w:type="pct"/>
            <w:vMerge w:val="restart"/>
            <w:tcBorders>
              <w:top w:val="nil"/>
              <w:left w:val="nil"/>
              <w:right w:val="nil"/>
            </w:tcBorders>
          </w:tcPr>
          <w:p w14:paraId="50EF3547" w14:textId="77777777" w:rsidR="000F16C4" w:rsidRDefault="000F16C4" w:rsidP="000972AF">
            <w:pPr>
              <w:widowControl w:val="0"/>
              <w:autoSpaceDE w:val="0"/>
              <w:autoSpaceDN w:val="0"/>
              <w:adjustRightInd w:val="0"/>
              <w:spacing w:after="0" w:line="240" w:lineRule="auto"/>
              <w:rPr>
                <w:szCs w:val="24"/>
              </w:rPr>
            </w:pPr>
            <w:r>
              <w:rPr>
                <w:szCs w:val="24"/>
              </w:rPr>
              <w:t>Log R&amp;D expenditure</w:t>
            </w:r>
          </w:p>
        </w:tc>
        <w:tc>
          <w:tcPr>
            <w:tcW w:w="613" w:type="pct"/>
            <w:tcBorders>
              <w:top w:val="nil"/>
              <w:left w:val="nil"/>
              <w:bottom w:val="nil"/>
              <w:right w:val="nil"/>
            </w:tcBorders>
          </w:tcPr>
          <w:p w14:paraId="03DBD317" w14:textId="77777777" w:rsidR="000F16C4" w:rsidRDefault="000F16C4" w:rsidP="000972AF">
            <w:pPr>
              <w:widowControl w:val="0"/>
              <w:autoSpaceDE w:val="0"/>
              <w:autoSpaceDN w:val="0"/>
              <w:adjustRightInd w:val="0"/>
              <w:spacing w:after="0" w:line="240" w:lineRule="auto"/>
              <w:jc w:val="center"/>
              <w:rPr>
                <w:szCs w:val="24"/>
              </w:rPr>
            </w:pPr>
            <w:r>
              <w:rPr>
                <w:szCs w:val="24"/>
              </w:rPr>
              <w:t>1.29***</w:t>
            </w:r>
          </w:p>
        </w:tc>
        <w:tc>
          <w:tcPr>
            <w:tcW w:w="823" w:type="pct"/>
            <w:tcBorders>
              <w:top w:val="nil"/>
              <w:left w:val="nil"/>
              <w:bottom w:val="nil"/>
              <w:right w:val="nil"/>
            </w:tcBorders>
          </w:tcPr>
          <w:p w14:paraId="233DDB38" w14:textId="77777777" w:rsidR="000F16C4" w:rsidRDefault="000F16C4" w:rsidP="000972AF">
            <w:pPr>
              <w:widowControl w:val="0"/>
              <w:autoSpaceDE w:val="0"/>
              <w:autoSpaceDN w:val="0"/>
              <w:adjustRightInd w:val="0"/>
              <w:spacing w:after="0" w:line="240" w:lineRule="auto"/>
              <w:jc w:val="center"/>
              <w:rPr>
                <w:szCs w:val="24"/>
              </w:rPr>
            </w:pPr>
            <w:r>
              <w:rPr>
                <w:szCs w:val="24"/>
              </w:rPr>
              <w:t>1.28***</w:t>
            </w:r>
          </w:p>
        </w:tc>
        <w:tc>
          <w:tcPr>
            <w:tcW w:w="611" w:type="pct"/>
            <w:tcBorders>
              <w:top w:val="nil"/>
              <w:left w:val="nil"/>
              <w:bottom w:val="nil"/>
              <w:right w:val="nil"/>
            </w:tcBorders>
          </w:tcPr>
          <w:p w14:paraId="170FC039" w14:textId="77777777" w:rsidR="000F16C4" w:rsidRDefault="000F16C4" w:rsidP="000972AF">
            <w:pPr>
              <w:widowControl w:val="0"/>
              <w:autoSpaceDE w:val="0"/>
              <w:autoSpaceDN w:val="0"/>
              <w:adjustRightInd w:val="0"/>
              <w:spacing w:after="0" w:line="240" w:lineRule="auto"/>
              <w:jc w:val="center"/>
              <w:rPr>
                <w:szCs w:val="24"/>
              </w:rPr>
            </w:pPr>
            <w:r>
              <w:rPr>
                <w:szCs w:val="24"/>
              </w:rPr>
              <w:t>1.20***</w:t>
            </w:r>
          </w:p>
        </w:tc>
        <w:tc>
          <w:tcPr>
            <w:tcW w:w="853" w:type="pct"/>
            <w:tcBorders>
              <w:top w:val="nil"/>
              <w:left w:val="nil"/>
              <w:bottom w:val="nil"/>
              <w:right w:val="nil"/>
            </w:tcBorders>
          </w:tcPr>
          <w:p w14:paraId="524E0C1E" w14:textId="77777777" w:rsidR="000F16C4" w:rsidRDefault="000F16C4" w:rsidP="000972AF">
            <w:pPr>
              <w:widowControl w:val="0"/>
              <w:autoSpaceDE w:val="0"/>
              <w:autoSpaceDN w:val="0"/>
              <w:adjustRightInd w:val="0"/>
              <w:spacing w:after="0" w:line="240" w:lineRule="auto"/>
              <w:jc w:val="center"/>
              <w:rPr>
                <w:szCs w:val="24"/>
              </w:rPr>
            </w:pPr>
            <w:r>
              <w:rPr>
                <w:szCs w:val="24"/>
              </w:rPr>
              <w:t>1.10***</w:t>
            </w:r>
          </w:p>
        </w:tc>
        <w:tc>
          <w:tcPr>
            <w:tcW w:w="673" w:type="pct"/>
            <w:tcBorders>
              <w:top w:val="nil"/>
              <w:left w:val="nil"/>
              <w:bottom w:val="nil"/>
              <w:right w:val="nil"/>
            </w:tcBorders>
          </w:tcPr>
          <w:p w14:paraId="1733CAB2" w14:textId="77777777" w:rsidR="000F16C4" w:rsidRDefault="000F16C4" w:rsidP="000972AF">
            <w:pPr>
              <w:widowControl w:val="0"/>
              <w:autoSpaceDE w:val="0"/>
              <w:autoSpaceDN w:val="0"/>
              <w:adjustRightInd w:val="0"/>
              <w:spacing w:after="0" w:line="240" w:lineRule="auto"/>
              <w:jc w:val="center"/>
              <w:rPr>
                <w:szCs w:val="24"/>
              </w:rPr>
            </w:pPr>
            <w:r>
              <w:rPr>
                <w:szCs w:val="24"/>
              </w:rPr>
              <w:t>1.14***</w:t>
            </w:r>
          </w:p>
        </w:tc>
      </w:tr>
      <w:tr w:rsidR="000F16C4" w14:paraId="47B7C16C" w14:textId="77777777" w:rsidTr="000972AF">
        <w:trPr>
          <w:jc w:val="center"/>
        </w:trPr>
        <w:tc>
          <w:tcPr>
            <w:tcW w:w="1427" w:type="pct"/>
            <w:vMerge/>
            <w:tcBorders>
              <w:left w:val="nil"/>
              <w:bottom w:val="nil"/>
              <w:right w:val="nil"/>
            </w:tcBorders>
          </w:tcPr>
          <w:p w14:paraId="7A77303B" w14:textId="77777777" w:rsidR="000F16C4" w:rsidRDefault="000F16C4" w:rsidP="000972AF">
            <w:pPr>
              <w:widowControl w:val="0"/>
              <w:autoSpaceDE w:val="0"/>
              <w:autoSpaceDN w:val="0"/>
              <w:adjustRightInd w:val="0"/>
              <w:spacing w:after="0" w:line="240" w:lineRule="auto"/>
              <w:rPr>
                <w:szCs w:val="24"/>
              </w:rPr>
            </w:pPr>
          </w:p>
        </w:tc>
        <w:tc>
          <w:tcPr>
            <w:tcW w:w="613" w:type="pct"/>
            <w:tcBorders>
              <w:top w:val="nil"/>
              <w:left w:val="nil"/>
              <w:bottom w:val="nil"/>
              <w:right w:val="nil"/>
            </w:tcBorders>
          </w:tcPr>
          <w:p w14:paraId="498236B4" w14:textId="77777777" w:rsidR="000F16C4" w:rsidRDefault="000F16C4" w:rsidP="000972AF">
            <w:pPr>
              <w:widowControl w:val="0"/>
              <w:autoSpaceDE w:val="0"/>
              <w:autoSpaceDN w:val="0"/>
              <w:adjustRightInd w:val="0"/>
              <w:spacing w:after="0" w:line="240" w:lineRule="auto"/>
              <w:jc w:val="center"/>
              <w:rPr>
                <w:szCs w:val="24"/>
              </w:rPr>
            </w:pPr>
            <w:r>
              <w:rPr>
                <w:szCs w:val="24"/>
              </w:rPr>
              <w:t>(0.01)</w:t>
            </w:r>
          </w:p>
        </w:tc>
        <w:tc>
          <w:tcPr>
            <w:tcW w:w="823" w:type="pct"/>
            <w:tcBorders>
              <w:top w:val="nil"/>
              <w:left w:val="nil"/>
              <w:bottom w:val="nil"/>
              <w:right w:val="nil"/>
            </w:tcBorders>
          </w:tcPr>
          <w:p w14:paraId="23796731" w14:textId="77777777" w:rsidR="000F16C4" w:rsidRDefault="000F16C4" w:rsidP="000972AF">
            <w:pPr>
              <w:widowControl w:val="0"/>
              <w:autoSpaceDE w:val="0"/>
              <w:autoSpaceDN w:val="0"/>
              <w:adjustRightInd w:val="0"/>
              <w:spacing w:after="0" w:line="240" w:lineRule="auto"/>
              <w:jc w:val="center"/>
              <w:rPr>
                <w:szCs w:val="24"/>
              </w:rPr>
            </w:pPr>
            <w:r>
              <w:rPr>
                <w:szCs w:val="24"/>
              </w:rPr>
              <w:t>(0.02)</w:t>
            </w:r>
          </w:p>
        </w:tc>
        <w:tc>
          <w:tcPr>
            <w:tcW w:w="611" w:type="pct"/>
            <w:tcBorders>
              <w:top w:val="nil"/>
              <w:left w:val="nil"/>
              <w:bottom w:val="nil"/>
              <w:right w:val="nil"/>
            </w:tcBorders>
          </w:tcPr>
          <w:p w14:paraId="03788770" w14:textId="77777777" w:rsidR="000F16C4" w:rsidRDefault="000F16C4" w:rsidP="000972AF">
            <w:pPr>
              <w:widowControl w:val="0"/>
              <w:autoSpaceDE w:val="0"/>
              <w:autoSpaceDN w:val="0"/>
              <w:adjustRightInd w:val="0"/>
              <w:spacing w:after="0" w:line="240" w:lineRule="auto"/>
              <w:jc w:val="center"/>
              <w:rPr>
                <w:szCs w:val="24"/>
              </w:rPr>
            </w:pPr>
            <w:r>
              <w:rPr>
                <w:szCs w:val="24"/>
              </w:rPr>
              <w:t>(0.01)</w:t>
            </w:r>
          </w:p>
        </w:tc>
        <w:tc>
          <w:tcPr>
            <w:tcW w:w="853" w:type="pct"/>
            <w:tcBorders>
              <w:top w:val="nil"/>
              <w:left w:val="nil"/>
              <w:bottom w:val="nil"/>
              <w:right w:val="nil"/>
            </w:tcBorders>
          </w:tcPr>
          <w:p w14:paraId="41F095D9" w14:textId="77777777" w:rsidR="000F16C4" w:rsidRDefault="000F16C4" w:rsidP="000972AF">
            <w:pPr>
              <w:widowControl w:val="0"/>
              <w:autoSpaceDE w:val="0"/>
              <w:autoSpaceDN w:val="0"/>
              <w:adjustRightInd w:val="0"/>
              <w:spacing w:after="0" w:line="240" w:lineRule="auto"/>
              <w:jc w:val="center"/>
              <w:rPr>
                <w:szCs w:val="24"/>
              </w:rPr>
            </w:pPr>
            <w:r>
              <w:rPr>
                <w:szCs w:val="24"/>
              </w:rPr>
              <w:t>(0.01)</w:t>
            </w:r>
          </w:p>
        </w:tc>
        <w:tc>
          <w:tcPr>
            <w:tcW w:w="673" w:type="pct"/>
            <w:tcBorders>
              <w:top w:val="nil"/>
              <w:left w:val="nil"/>
              <w:bottom w:val="nil"/>
              <w:right w:val="nil"/>
            </w:tcBorders>
          </w:tcPr>
          <w:p w14:paraId="45B18E95" w14:textId="77777777" w:rsidR="000F16C4" w:rsidRDefault="000F16C4" w:rsidP="000972AF">
            <w:pPr>
              <w:widowControl w:val="0"/>
              <w:autoSpaceDE w:val="0"/>
              <w:autoSpaceDN w:val="0"/>
              <w:adjustRightInd w:val="0"/>
              <w:spacing w:after="0" w:line="240" w:lineRule="auto"/>
              <w:jc w:val="center"/>
              <w:rPr>
                <w:szCs w:val="24"/>
              </w:rPr>
            </w:pPr>
            <w:r>
              <w:rPr>
                <w:szCs w:val="24"/>
              </w:rPr>
              <w:t>(0.01)</w:t>
            </w:r>
          </w:p>
        </w:tc>
      </w:tr>
      <w:tr w:rsidR="000F16C4" w14:paraId="377B2108" w14:textId="77777777" w:rsidTr="000972AF">
        <w:trPr>
          <w:jc w:val="center"/>
        </w:trPr>
        <w:tc>
          <w:tcPr>
            <w:tcW w:w="1427" w:type="pct"/>
            <w:vMerge w:val="restart"/>
            <w:tcBorders>
              <w:top w:val="nil"/>
              <w:left w:val="nil"/>
              <w:right w:val="nil"/>
            </w:tcBorders>
          </w:tcPr>
          <w:p w14:paraId="6F841729" w14:textId="77777777" w:rsidR="000F16C4" w:rsidRDefault="000F16C4" w:rsidP="000972AF">
            <w:pPr>
              <w:widowControl w:val="0"/>
              <w:autoSpaceDE w:val="0"/>
              <w:autoSpaceDN w:val="0"/>
              <w:adjustRightInd w:val="0"/>
              <w:spacing w:after="0" w:line="240" w:lineRule="auto"/>
              <w:rPr>
                <w:szCs w:val="24"/>
              </w:rPr>
            </w:pPr>
            <w:r>
              <w:rPr>
                <w:szCs w:val="24"/>
              </w:rPr>
              <w:t>Log no. of employees</w:t>
            </w:r>
          </w:p>
        </w:tc>
        <w:tc>
          <w:tcPr>
            <w:tcW w:w="613" w:type="pct"/>
            <w:tcBorders>
              <w:top w:val="nil"/>
              <w:left w:val="nil"/>
              <w:bottom w:val="nil"/>
              <w:right w:val="nil"/>
            </w:tcBorders>
          </w:tcPr>
          <w:p w14:paraId="39797250" w14:textId="77777777" w:rsidR="000F16C4" w:rsidRDefault="000F16C4" w:rsidP="000972AF">
            <w:pPr>
              <w:widowControl w:val="0"/>
              <w:autoSpaceDE w:val="0"/>
              <w:autoSpaceDN w:val="0"/>
              <w:adjustRightInd w:val="0"/>
              <w:spacing w:after="0" w:line="240" w:lineRule="auto"/>
              <w:jc w:val="center"/>
              <w:rPr>
                <w:szCs w:val="24"/>
              </w:rPr>
            </w:pPr>
            <w:r>
              <w:rPr>
                <w:szCs w:val="24"/>
              </w:rPr>
              <w:t>0.97</w:t>
            </w:r>
          </w:p>
        </w:tc>
        <w:tc>
          <w:tcPr>
            <w:tcW w:w="823" w:type="pct"/>
            <w:tcBorders>
              <w:top w:val="nil"/>
              <w:left w:val="nil"/>
              <w:bottom w:val="nil"/>
              <w:right w:val="nil"/>
            </w:tcBorders>
          </w:tcPr>
          <w:p w14:paraId="032328A1" w14:textId="77777777" w:rsidR="000F16C4" w:rsidRDefault="000F16C4" w:rsidP="000972AF">
            <w:pPr>
              <w:widowControl w:val="0"/>
              <w:autoSpaceDE w:val="0"/>
              <w:autoSpaceDN w:val="0"/>
              <w:adjustRightInd w:val="0"/>
              <w:spacing w:after="0" w:line="240" w:lineRule="auto"/>
              <w:jc w:val="center"/>
              <w:rPr>
                <w:szCs w:val="24"/>
              </w:rPr>
            </w:pPr>
            <w:r>
              <w:rPr>
                <w:szCs w:val="24"/>
              </w:rPr>
              <w:t>0.94+</w:t>
            </w:r>
          </w:p>
        </w:tc>
        <w:tc>
          <w:tcPr>
            <w:tcW w:w="611" w:type="pct"/>
            <w:tcBorders>
              <w:top w:val="nil"/>
              <w:left w:val="nil"/>
              <w:bottom w:val="nil"/>
              <w:right w:val="nil"/>
            </w:tcBorders>
          </w:tcPr>
          <w:p w14:paraId="76DA597D" w14:textId="77777777" w:rsidR="000F16C4" w:rsidRDefault="000F16C4" w:rsidP="000972AF">
            <w:pPr>
              <w:widowControl w:val="0"/>
              <w:autoSpaceDE w:val="0"/>
              <w:autoSpaceDN w:val="0"/>
              <w:adjustRightInd w:val="0"/>
              <w:spacing w:after="0" w:line="240" w:lineRule="auto"/>
              <w:jc w:val="center"/>
              <w:rPr>
                <w:szCs w:val="24"/>
              </w:rPr>
            </w:pPr>
            <w:r>
              <w:rPr>
                <w:szCs w:val="24"/>
              </w:rPr>
              <w:t>1.04</w:t>
            </w:r>
          </w:p>
        </w:tc>
        <w:tc>
          <w:tcPr>
            <w:tcW w:w="853" w:type="pct"/>
            <w:tcBorders>
              <w:top w:val="nil"/>
              <w:left w:val="nil"/>
              <w:bottom w:val="nil"/>
              <w:right w:val="nil"/>
            </w:tcBorders>
          </w:tcPr>
          <w:p w14:paraId="31A808AC" w14:textId="77777777" w:rsidR="000F16C4" w:rsidRDefault="000F16C4" w:rsidP="000972AF">
            <w:pPr>
              <w:widowControl w:val="0"/>
              <w:autoSpaceDE w:val="0"/>
              <w:autoSpaceDN w:val="0"/>
              <w:adjustRightInd w:val="0"/>
              <w:spacing w:after="0" w:line="240" w:lineRule="auto"/>
              <w:jc w:val="center"/>
              <w:rPr>
                <w:szCs w:val="24"/>
              </w:rPr>
            </w:pPr>
            <w:r>
              <w:rPr>
                <w:szCs w:val="24"/>
              </w:rPr>
              <w:t>1.20***</w:t>
            </w:r>
          </w:p>
        </w:tc>
        <w:tc>
          <w:tcPr>
            <w:tcW w:w="673" w:type="pct"/>
            <w:tcBorders>
              <w:top w:val="nil"/>
              <w:left w:val="nil"/>
              <w:bottom w:val="nil"/>
              <w:right w:val="nil"/>
            </w:tcBorders>
          </w:tcPr>
          <w:p w14:paraId="16618D6C" w14:textId="77777777" w:rsidR="000F16C4" w:rsidRDefault="000F16C4" w:rsidP="000972AF">
            <w:pPr>
              <w:widowControl w:val="0"/>
              <w:autoSpaceDE w:val="0"/>
              <w:autoSpaceDN w:val="0"/>
              <w:adjustRightInd w:val="0"/>
              <w:spacing w:after="0" w:line="240" w:lineRule="auto"/>
              <w:jc w:val="center"/>
              <w:rPr>
                <w:szCs w:val="24"/>
              </w:rPr>
            </w:pPr>
            <w:r>
              <w:rPr>
                <w:szCs w:val="24"/>
              </w:rPr>
              <w:t>1.01</w:t>
            </w:r>
          </w:p>
        </w:tc>
      </w:tr>
      <w:tr w:rsidR="000F16C4" w14:paraId="36EF92E0" w14:textId="77777777" w:rsidTr="000972AF">
        <w:trPr>
          <w:jc w:val="center"/>
        </w:trPr>
        <w:tc>
          <w:tcPr>
            <w:tcW w:w="1427" w:type="pct"/>
            <w:vMerge/>
            <w:tcBorders>
              <w:left w:val="nil"/>
              <w:bottom w:val="nil"/>
              <w:right w:val="nil"/>
            </w:tcBorders>
          </w:tcPr>
          <w:p w14:paraId="09AEFD9C" w14:textId="77777777" w:rsidR="000F16C4" w:rsidRDefault="000F16C4" w:rsidP="000972AF">
            <w:pPr>
              <w:widowControl w:val="0"/>
              <w:autoSpaceDE w:val="0"/>
              <w:autoSpaceDN w:val="0"/>
              <w:adjustRightInd w:val="0"/>
              <w:spacing w:after="0" w:line="240" w:lineRule="auto"/>
              <w:rPr>
                <w:szCs w:val="24"/>
              </w:rPr>
            </w:pPr>
          </w:p>
        </w:tc>
        <w:tc>
          <w:tcPr>
            <w:tcW w:w="613" w:type="pct"/>
            <w:tcBorders>
              <w:top w:val="nil"/>
              <w:left w:val="nil"/>
              <w:bottom w:val="nil"/>
              <w:right w:val="nil"/>
            </w:tcBorders>
          </w:tcPr>
          <w:p w14:paraId="19440B03"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823" w:type="pct"/>
            <w:tcBorders>
              <w:top w:val="nil"/>
              <w:left w:val="nil"/>
              <w:bottom w:val="nil"/>
              <w:right w:val="nil"/>
            </w:tcBorders>
          </w:tcPr>
          <w:p w14:paraId="6267348D"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611" w:type="pct"/>
            <w:tcBorders>
              <w:top w:val="nil"/>
              <w:left w:val="nil"/>
              <w:bottom w:val="nil"/>
              <w:right w:val="nil"/>
            </w:tcBorders>
          </w:tcPr>
          <w:p w14:paraId="2C57E37C"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853" w:type="pct"/>
            <w:tcBorders>
              <w:top w:val="nil"/>
              <w:left w:val="nil"/>
              <w:bottom w:val="nil"/>
              <w:right w:val="nil"/>
            </w:tcBorders>
          </w:tcPr>
          <w:p w14:paraId="42BED2DB" w14:textId="77777777" w:rsidR="000F16C4" w:rsidRDefault="000F16C4" w:rsidP="000972AF">
            <w:pPr>
              <w:widowControl w:val="0"/>
              <w:autoSpaceDE w:val="0"/>
              <w:autoSpaceDN w:val="0"/>
              <w:adjustRightInd w:val="0"/>
              <w:spacing w:after="0" w:line="240" w:lineRule="auto"/>
              <w:jc w:val="center"/>
              <w:rPr>
                <w:szCs w:val="24"/>
              </w:rPr>
            </w:pPr>
            <w:r>
              <w:rPr>
                <w:szCs w:val="24"/>
              </w:rPr>
              <w:t>(0.04)</w:t>
            </w:r>
          </w:p>
        </w:tc>
        <w:tc>
          <w:tcPr>
            <w:tcW w:w="673" w:type="pct"/>
            <w:tcBorders>
              <w:top w:val="nil"/>
              <w:left w:val="nil"/>
              <w:bottom w:val="nil"/>
              <w:right w:val="nil"/>
            </w:tcBorders>
          </w:tcPr>
          <w:p w14:paraId="2DABE7FD"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r>
      <w:tr w:rsidR="000F16C4" w14:paraId="5FC53B80" w14:textId="77777777" w:rsidTr="000972AF">
        <w:trPr>
          <w:jc w:val="center"/>
        </w:trPr>
        <w:tc>
          <w:tcPr>
            <w:tcW w:w="1427" w:type="pct"/>
            <w:vMerge w:val="restart"/>
            <w:tcBorders>
              <w:top w:val="nil"/>
              <w:left w:val="nil"/>
              <w:right w:val="nil"/>
            </w:tcBorders>
          </w:tcPr>
          <w:p w14:paraId="1FE27D89" w14:textId="77777777" w:rsidR="000F16C4" w:rsidRDefault="000F16C4" w:rsidP="000972AF">
            <w:pPr>
              <w:widowControl w:val="0"/>
              <w:autoSpaceDE w:val="0"/>
              <w:autoSpaceDN w:val="0"/>
              <w:adjustRightInd w:val="0"/>
              <w:spacing w:after="0" w:line="240" w:lineRule="auto"/>
              <w:rPr>
                <w:szCs w:val="24"/>
              </w:rPr>
            </w:pPr>
            <w:r>
              <w:rPr>
                <w:szCs w:val="24"/>
              </w:rPr>
              <w:t>Log % of educated employees</w:t>
            </w:r>
          </w:p>
        </w:tc>
        <w:tc>
          <w:tcPr>
            <w:tcW w:w="613" w:type="pct"/>
            <w:tcBorders>
              <w:top w:val="nil"/>
              <w:left w:val="nil"/>
              <w:bottom w:val="nil"/>
              <w:right w:val="nil"/>
            </w:tcBorders>
          </w:tcPr>
          <w:p w14:paraId="4EF6A24C" w14:textId="77777777" w:rsidR="000F16C4" w:rsidRDefault="000F16C4" w:rsidP="000972AF">
            <w:pPr>
              <w:widowControl w:val="0"/>
              <w:autoSpaceDE w:val="0"/>
              <w:autoSpaceDN w:val="0"/>
              <w:adjustRightInd w:val="0"/>
              <w:spacing w:after="0" w:line="240" w:lineRule="auto"/>
              <w:jc w:val="center"/>
              <w:rPr>
                <w:szCs w:val="24"/>
              </w:rPr>
            </w:pPr>
            <w:r>
              <w:rPr>
                <w:szCs w:val="24"/>
              </w:rPr>
              <w:t>2.56**</w:t>
            </w:r>
          </w:p>
        </w:tc>
        <w:tc>
          <w:tcPr>
            <w:tcW w:w="823" w:type="pct"/>
            <w:tcBorders>
              <w:top w:val="nil"/>
              <w:left w:val="nil"/>
              <w:bottom w:val="nil"/>
              <w:right w:val="nil"/>
            </w:tcBorders>
          </w:tcPr>
          <w:p w14:paraId="66BD19EB" w14:textId="77777777" w:rsidR="000F16C4" w:rsidRDefault="000F16C4" w:rsidP="000972AF">
            <w:pPr>
              <w:widowControl w:val="0"/>
              <w:autoSpaceDE w:val="0"/>
              <w:autoSpaceDN w:val="0"/>
              <w:adjustRightInd w:val="0"/>
              <w:spacing w:after="0" w:line="240" w:lineRule="auto"/>
              <w:jc w:val="center"/>
              <w:rPr>
                <w:szCs w:val="24"/>
              </w:rPr>
            </w:pPr>
            <w:r>
              <w:rPr>
                <w:szCs w:val="24"/>
              </w:rPr>
              <w:t>2.25*</w:t>
            </w:r>
          </w:p>
        </w:tc>
        <w:tc>
          <w:tcPr>
            <w:tcW w:w="611" w:type="pct"/>
            <w:tcBorders>
              <w:top w:val="nil"/>
              <w:left w:val="nil"/>
              <w:bottom w:val="nil"/>
              <w:right w:val="nil"/>
            </w:tcBorders>
          </w:tcPr>
          <w:p w14:paraId="7F98442E" w14:textId="77777777" w:rsidR="000F16C4" w:rsidRDefault="000F16C4" w:rsidP="000972AF">
            <w:pPr>
              <w:widowControl w:val="0"/>
              <w:autoSpaceDE w:val="0"/>
              <w:autoSpaceDN w:val="0"/>
              <w:adjustRightInd w:val="0"/>
              <w:spacing w:after="0" w:line="240" w:lineRule="auto"/>
              <w:jc w:val="center"/>
              <w:rPr>
                <w:szCs w:val="24"/>
              </w:rPr>
            </w:pPr>
            <w:r>
              <w:rPr>
                <w:szCs w:val="24"/>
              </w:rPr>
              <w:t>1.34</w:t>
            </w:r>
          </w:p>
        </w:tc>
        <w:tc>
          <w:tcPr>
            <w:tcW w:w="853" w:type="pct"/>
            <w:tcBorders>
              <w:top w:val="nil"/>
              <w:left w:val="nil"/>
              <w:bottom w:val="nil"/>
              <w:right w:val="nil"/>
            </w:tcBorders>
          </w:tcPr>
          <w:p w14:paraId="0F7C8390" w14:textId="77777777" w:rsidR="000F16C4" w:rsidRDefault="000F16C4" w:rsidP="000972AF">
            <w:pPr>
              <w:widowControl w:val="0"/>
              <w:autoSpaceDE w:val="0"/>
              <w:autoSpaceDN w:val="0"/>
              <w:adjustRightInd w:val="0"/>
              <w:spacing w:after="0" w:line="240" w:lineRule="auto"/>
              <w:jc w:val="center"/>
              <w:rPr>
                <w:szCs w:val="24"/>
              </w:rPr>
            </w:pPr>
            <w:r>
              <w:rPr>
                <w:szCs w:val="24"/>
              </w:rPr>
              <w:t>2.10*</w:t>
            </w:r>
          </w:p>
        </w:tc>
        <w:tc>
          <w:tcPr>
            <w:tcW w:w="673" w:type="pct"/>
            <w:tcBorders>
              <w:top w:val="nil"/>
              <w:left w:val="nil"/>
              <w:bottom w:val="nil"/>
              <w:right w:val="nil"/>
            </w:tcBorders>
          </w:tcPr>
          <w:p w14:paraId="36CFDFB0" w14:textId="77777777" w:rsidR="000F16C4" w:rsidRDefault="000F16C4" w:rsidP="000972AF">
            <w:pPr>
              <w:widowControl w:val="0"/>
              <w:autoSpaceDE w:val="0"/>
              <w:autoSpaceDN w:val="0"/>
              <w:adjustRightInd w:val="0"/>
              <w:spacing w:after="0" w:line="240" w:lineRule="auto"/>
              <w:jc w:val="center"/>
              <w:rPr>
                <w:szCs w:val="24"/>
              </w:rPr>
            </w:pPr>
            <w:r>
              <w:rPr>
                <w:szCs w:val="24"/>
              </w:rPr>
              <w:t>1.60</w:t>
            </w:r>
          </w:p>
        </w:tc>
      </w:tr>
      <w:tr w:rsidR="000F16C4" w14:paraId="5B0CE340" w14:textId="77777777" w:rsidTr="000972AF">
        <w:trPr>
          <w:jc w:val="center"/>
        </w:trPr>
        <w:tc>
          <w:tcPr>
            <w:tcW w:w="1427" w:type="pct"/>
            <w:vMerge/>
            <w:tcBorders>
              <w:left w:val="nil"/>
              <w:bottom w:val="nil"/>
              <w:right w:val="nil"/>
            </w:tcBorders>
          </w:tcPr>
          <w:p w14:paraId="2C88922A" w14:textId="77777777" w:rsidR="000F16C4" w:rsidRDefault="000F16C4" w:rsidP="000972AF">
            <w:pPr>
              <w:widowControl w:val="0"/>
              <w:autoSpaceDE w:val="0"/>
              <w:autoSpaceDN w:val="0"/>
              <w:adjustRightInd w:val="0"/>
              <w:spacing w:after="0" w:line="240" w:lineRule="auto"/>
              <w:rPr>
                <w:szCs w:val="24"/>
              </w:rPr>
            </w:pPr>
          </w:p>
        </w:tc>
        <w:tc>
          <w:tcPr>
            <w:tcW w:w="613" w:type="pct"/>
            <w:tcBorders>
              <w:top w:val="nil"/>
              <w:left w:val="nil"/>
              <w:bottom w:val="nil"/>
              <w:right w:val="nil"/>
            </w:tcBorders>
          </w:tcPr>
          <w:p w14:paraId="0E5C27FB" w14:textId="77777777" w:rsidR="000F16C4" w:rsidRDefault="000F16C4" w:rsidP="000972AF">
            <w:pPr>
              <w:widowControl w:val="0"/>
              <w:autoSpaceDE w:val="0"/>
              <w:autoSpaceDN w:val="0"/>
              <w:adjustRightInd w:val="0"/>
              <w:spacing w:after="0" w:line="240" w:lineRule="auto"/>
              <w:jc w:val="center"/>
              <w:rPr>
                <w:szCs w:val="24"/>
              </w:rPr>
            </w:pPr>
            <w:r>
              <w:rPr>
                <w:szCs w:val="24"/>
              </w:rPr>
              <w:t>(0.81)</w:t>
            </w:r>
          </w:p>
        </w:tc>
        <w:tc>
          <w:tcPr>
            <w:tcW w:w="823" w:type="pct"/>
            <w:tcBorders>
              <w:top w:val="nil"/>
              <w:left w:val="nil"/>
              <w:bottom w:val="nil"/>
              <w:right w:val="nil"/>
            </w:tcBorders>
          </w:tcPr>
          <w:p w14:paraId="0076900B" w14:textId="77777777" w:rsidR="000F16C4" w:rsidRDefault="000F16C4" w:rsidP="000972AF">
            <w:pPr>
              <w:widowControl w:val="0"/>
              <w:autoSpaceDE w:val="0"/>
              <w:autoSpaceDN w:val="0"/>
              <w:adjustRightInd w:val="0"/>
              <w:spacing w:after="0" w:line="240" w:lineRule="auto"/>
              <w:jc w:val="center"/>
              <w:rPr>
                <w:szCs w:val="24"/>
              </w:rPr>
            </w:pPr>
            <w:r>
              <w:rPr>
                <w:szCs w:val="24"/>
              </w:rPr>
              <w:t>(0.75)</w:t>
            </w:r>
          </w:p>
        </w:tc>
        <w:tc>
          <w:tcPr>
            <w:tcW w:w="611" w:type="pct"/>
            <w:tcBorders>
              <w:top w:val="nil"/>
              <w:left w:val="nil"/>
              <w:bottom w:val="nil"/>
              <w:right w:val="nil"/>
            </w:tcBorders>
          </w:tcPr>
          <w:p w14:paraId="5F80B0E3" w14:textId="77777777" w:rsidR="000F16C4" w:rsidRDefault="000F16C4" w:rsidP="000972AF">
            <w:pPr>
              <w:widowControl w:val="0"/>
              <w:autoSpaceDE w:val="0"/>
              <w:autoSpaceDN w:val="0"/>
              <w:adjustRightInd w:val="0"/>
              <w:spacing w:after="0" w:line="240" w:lineRule="auto"/>
              <w:jc w:val="center"/>
              <w:rPr>
                <w:szCs w:val="24"/>
              </w:rPr>
            </w:pPr>
            <w:r>
              <w:rPr>
                <w:szCs w:val="24"/>
              </w:rPr>
              <w:t>(0.42)</w:t>
            </w:r>
          </w:p>
        </w:tc>
        <w:tc>
          <w:tcPr>
            <w:tcW w:w="853" w:type="pct"/>
            <w:tcBorders>
              <w:top w:val="nil"/>
              <w:left w:val="nil"/>
              <w:bottom w:val="nil"/>
              <w:right w:val="nil"/>
            </w:tcBorders>
          </w:tcPr>
          <w:p w14:paraId="670EEBD3" w14:textId="77777777" w:rsidR="000F16C4" w:rsidRDefault="000F16C4" w:rsidP="000972AF">
            <w:pPr>
              <w:widowControl w:val="0"/>
              <w:autoSpaceDE w:val="0"/>
              <w:autoSpaceDN w:val="0"/>
              <w:adjustRightInd w:val="0"/>
              <w:spacing w:after="0" w:line="240" w:lineRule="auto"/>
              <w:jc w:val="center"/>
              <w:rPr>
                <w:szCs w:val="24"/>
              </w:rPr>
            </w:pPr>
            <w:r>
              <w:rPr>
                <w:szCs w:val="24"/>
              </w:rPr>
              <w:t>(0.62)</w:t>
            </w:r>
          </w:p>
        </w:tc>
        <w:tc>
          <w:tcPr>
            <w:tcW w:w="673" w:type="pct"/>
            <w:tcBorders>
              <w:top w:val="nil"/>
              <w:left w:val="nil"/>
              <w:bottom w:val="nil"/>
              <w:right w:val="nil"/>
            </w:tcBorders>
          </w:tcPr>
          <w:p w14:paraId="4279F085" w14:textId="77777777" w:rsidR="000F16C4" w:rsidRDefault="000F16C4" w:rsidP="000972AF">
            <w:pPr>
              <w:widowControl w:val="0"/>
              <w:autoSpaceDE w:val="0"/>
              <w:autoSpaceDN w:val="0"/>
              <w:adjustRightInd w:val="0"/>
              <w:spacing w:after="0" w:line="240" w:lineRule="auto"/>
              <w:jc w:val="center"/>
              <w:rPr>
                <w:szCs w:val="24"/>
              </w:rPr>
            </w:pPr>
            <w:r>
              <w:rPr>
                <w:szCs w:val="24"/>
              </w:rPr>
              <w:t>(0.48)</w:t>
            </w:r>
          </w:p>
        </w:tc>
      </w:tr>
      <w:tr w:rsidR="000F16C4" w14:paraId="007F6B25" w14:textId="77777777" w:rsidTr="000972AF">
        <w:trPr>
          <w:jc w:val="center"/>
        </w:trPr>
        <w:tc>
          <w:tcPr>
            <w:tcW w:w="1427" w:type="pct"/>
            <w:tcBorders>
              <w:top w:val="nil"/>
              <w:left w:val="nil"/>
              <w:bottom w:val="nil"/>
              <w:right w:val="nil"/>
            </w:tcBorders>
          </w:tcPr>
          <w:p w14:paraId="1876EC4A" w14:textId="77777777" w:rsidR="000F16C4" w:rsidRDefault="000F16C4" w:rsidP="000972AF">
            <w:pPr>
              <w:widowControl w:val="0"/>
              <w:autoSpaceDE w:val="0"/>
              <w:autoSpaceDN w:val="0"/>
              <w:adjustRightInd w:val="0"/>
              <w:spacing w:after="0" w:line="240" w:lineRule="auto"/>
              <w:rPr>
                <w:szCs w:val="24"/>
              </w:rPr>
            </w:pPr>
            <w:r>
              <w:rPr>
                <w:szCs w:val="24"/>
              </w:rPr>
              <w:t>Industry FE</w:t>
            </w:r>
          </w:p>
        </w:tc>
        <w:tc>
          <w:tcPr>
            <w:tcW w:w="613" w:type="pct"/>
            <w:tcBorders>
              <w:top w:val="nil"/>
              <w:left w:val="nil"/>
              <w:bottom w:val="nil"/>
              <w:right w:val="nil"/>
            </w:tcBorders>
          </w:tcPr>
          <w:p w14:paraId="255384C9"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c>
          <w:tcPr>
            <w:tcW w:w="823" w:type="pct"/>
            <w:tcBorders>
              <w:top w:val="nil"/>
              <w:left w:val="nil"/>
              <w:bottom w:val="nil"/>
              <w:right w:val="nil"/>
            </w:tcBorders>
          </w:tcPr>
          <w:p w14:paraId="1019EBD0"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c>
          <w:tcPr>
            <w:tcW w:w="611" w:type="pct"/>
            <w:tcBorders>
              <w:top w:val="nil"/>
              <w:left w:val="nil"/>
              <w:bottom w:val="nil"/>
              <w:right w:val="nil"/>
            </w:tcBorders>
          </w:tcPr>
          <w:p w14:paraId="4D784767"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c>
          <w:tcPr>
            <w:tcW w:w="853" w:type="pct"/>
            <w:tcBorders>
              <w:top w:val="nil"/>
              <w:left w:val="nil"/>
              <w:bottom w:val="nil"/>
              <w:right w:val="nil"/>
            </w:tcBorders>
          </w:tcPr>
          <w:p w14:paraId="1A582724"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c>
          <w:tcPr>
            <w:tcW w:w="673" w:type="pct"/>
            <w:tcBorders>
              <w:top w:val="nil"/>
              <w:left w:val="nil"/>
              <w:bottom w:val="nil"/>
              <w:right w:val="nil"/>
            </w:tcBorders>
          </w:tcPr>
          <w:p w14:paraId="42E2590F"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r>
      <w:tr w:rsidR="000F16C4" w14:paraId="20F1FBF3" w14:textId="77777777" w:rsidTr="000972AF">
        <w:trPr>
          <w:jc w:val="center"/>
        </w:trPr>
        <w:tc>
          <w:tcPr>
            <w:tcW w:w="1427" w:type="pct"/>
            <w:tcBorders>
              <w:top w:val="nil"/>
              <w:left w:val="nil"/>
              <w:bottom w:val="nil"/>
              <w:right w:val="nil"/>
            </w:tcBorders>
          </w:tcPr>
          <w:p w14:paraId="333E23FD" w14:textId="77777777" w:rsidR="000F16C4" w:rsidRDefault="000F16C4" w:rsidP="000972AF">
            <w:pPr>
              <w:widowControl w:val="0"/>
              <w:autoSpaceDE w:val="0"/>
              <w:autoSpaceDN w:val="0"/>
              <w:adjustRightInd w:val="0"/>
              <w:spacing w:after="0" w:line="240" w:lineRule="auto"/>
              <w:rPr>
                <w:szCs w:val="24"/>
              </w:rPr>
            </w:pPr>
            <w:r>
              <w:rPr>
                <w:szCs w:val="24"/>
              </w:rPr>
              <w:t>Time FE</w:t>
            </w:r>
          </w:p>
        </w:tc>
        <w:tc>
          <w:tcPr>
            <w:tcW w:w="613" w:type="pct"/>
            <w:tcBorders>
              <w:top w:val="nil"/>
              <w:left w:val="nil"/>
              <w:bottom w:val="nil"/>
              <w:right w:val="nil"/>
            </w:tcBorders>
          </w:tcPr>
          <w:p w14:paraId="71F76791"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c>
          <w:tcPr>
            <w:tcW w:w="823" w:type="pct"/>
            <w:tcBorders>
              <w:top w:val="nil"/>
              <w:left w:val="nil"/>
              <w:bottom w:val="nil"/>
              <w:right w:val="nil"/>
            </w:tcBorders>
          </w:tcPr>
          <w:p w14:paraId="3B4D1608"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c>
          <w:tcPr>
            <w:tcW w:w="611" w:type="pct"/>
            <w:tcBorders>
              <w:top w:val="nil"/>
              <w:left w:val="nil"/>
              <w:bottom w:val="nil"/>
              <w:right w:val="nil"/>
            </w:tcBorders>
          </w:tcPr>
          <w:p w14:paraId="175305CE"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c>
          <w:tcPr>
            <w:tcW w:w="853" w:type="pct"/>
            <w:tcBorders>
              <w:top w:val="nil"/>
              <w:left w:val="nil"/>
              <w:bottom w:val="nil"/>
              <w:right w:val="nil"/>
            </w:tcBorders>
          </w:tcPr>
          <w:p w14:paraId="67125B98"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c>
          <w:tcPr>
            <w:tcW w:w="673" w:type="pct"/>
            <w:tcBorders>
              <w:top w:val="nil"/>
              <w:left w:val="nil"/>
              <w:bottom w:val="nil"/>
              <w:right w:val="nil"/>
            </w:tcBorders>
          </w:tcPr>
          <w:p w14:paraId="4650B30E"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r>
      <w:tr w:rsidR="000F16C4" w14:paraId="6C9DED04" w14:textId="77777777" w:rsidTr="000972AF">
        <w:trPr>
          <w:jc w:val="center"/>
        </w:trPr>
        <w:tc>
          <w:tcPr>
            <w:tcW w:w="1427" w:type="pct"/>
            <w:tcBorders>
              <w:top w:val="nil"/>
              <w:left w:val="nil"/>
              <w:bottom w:val="nil"/>
              <w:right w:val="nil"/>
            </w:tcBorders>
          </w:tcPr>
          <w:p w14:paraId="7E5B6746" w14:textId="77777777" w:rsidR="000F16C4" w:rsidRDefault="000F16C4" w:rsidP="000972AF">
            <w:pPr>
              <w:widowControl w:val="0"/>
              <w:autoSpaceDE w:val="0"/>
              <w:autoSpaceDN w:val="0"/>
              <w:adjustRightInd w:val="0"/>
              <w:spacing w:after="0" w:line="240" w:lineRule="auto"/>
              <w:rPr>
                <w:szCs w:val="24"/>
              </w:rPr>
            </w:pPr>
          </w:p>
        </w:tc>
        <w:tc>
          <w:tcPr>
            <w:tcW w:w="613" w:type="pct"/>
            <w:tcBorders>
              <w:top w:val="nil"/>
              <w:left w:val="nil"/>
              <w:bottom w:val="nil"/>
              <w:right w:val="nil"/>
            </w:tcBorders>
          </w:tcPr>
          <w:p w14:paraId="1395EC02" w14:textId="77777777" w:rsidR="000F16C4" w:rsidRDefault="000F16C4" w:rsidP="000972AF">
            <w:pPr>
              <w:widowControl w:val="0"/>
              <w:autoSpaceDE w:val="0"/>
              <w:autoSpaceDN w:val="0"/>
              <w:adjustRightInd w:val="0"/>
              <w:spacing w:after="0" w:line="240" w:lineRule="auto"/>
              <w:jc w:val="center"/>
              <w:rPr>
                <w:szCs w:val="24"/>
              </w:rPr>
            </w:pPr>
          </w:p>
        </w:tc>
        <w:tc>
          <w:tcPr>
            <w:tcW w:w="823" w:type="pct"/>
            <w:tcBorders>
              <w:top w:val="nil"/>
              <w:left w:val="nil"/>
              <w:bottom w:val="nil"/>
              <w:right w:val="nil"/>
            </w:tcBorders>
          </w:tcPr>
          <w:p w14:paraId="798BBAB3" w14:textId="77777777" w:rsidR="000F16C4" w:rsidRDefault="000F16C4" w:rsidP="000972AF">
            <w:pPr>
              <w:widowControl w:val="0"/>
              <w:autoSpaceDE w:val="0"/>
              <w:autoSpaceDN w:val="0"/>
              <w:adjustRightInd w:val="0"/>
              <w:spacing w:after="0" w:line="240" w:lineRule="auto"/>
              <w:jc w:val="center"/>
              <w:rPr>
                <w:szCs w:val="24"/>
              </w:rPr>
            </w:pPr>
          </w:p>
        </w:tc>
        <w:tc>
          <w:tcPr>
            <w:tcW w:w="611" w:type="pct"/>
            <w:tcBorders>
              <w:top w:val="nil"/>
              <w:left w:val="nil"/>
              <w:bottom w:val="nil"/>
              <w:right w:val="nil"/>
            </w:tcBorders>
          </w:tcPr>
          <w:p w14:paraId="00866B27" w14:textId="77777777" w:rsidR="000F16C4" w:rsidRDefault="000F16C4" w:rsidP="000972AF">
            <w:pPr>
              <w:widowControl w:val="0"/>
              <w:autoSpaceDE w:val="0"/>
              <w:autoSpaceDN w:val="0"/>
              <w:adjustRightInd w:val="0"/>
              <w:spacing w:after="0" w:line="240" w:lineRule="auto"/>
              <w:jc w:val="center"/>
              <w:rPr>
                <w:szCs w:val="24"/>
              </w:rPr>
            </w:pPr>
          </w:p>
        </w:tc>
        <w:tc>
          <w:tcPr>
            <w:tcW w:w="853" w:type="pct"/>
            <w:tcBorders>
              <w:top w:val="nil"/>
              <w:left w:val="nil"/>
              <w:bottom w:val="nil"/>
              <w:right w:val="nil"/>
            </w:tcBorders>
          </w:tcPr>
          <w:p w14:paraId="3FC9700A" w14:textId="77777777" w:rsidR="000F16C4" w:rsidRDefault="000F16C4" w:rsidP="000972AF">
            <w:pPr>
              <w:widowControl w:val="0"/>
              <w:autoSpaceDE w:val="0"/>
              <w:autoSpaceDN w:val="0"/>
              <w:adjustRightInd w:val="0"/>
              <w:spacing w:after="0" w:line="240" w:lineRule="auto"/>
              <w:jc w:val="center"/>
              <w:rPr>
                <w:szCs w:val="24"/>
              </w:rPr>
            </w:pPr>
          </w:p>
        </w:tc>
        <w:tc>
          <w:tcPr>
            <w:tcW w:w="673" w:type="pct"/>
            <w:tcBorders>
              <w:top w:val="nil"/>
              <w:left w:val="nil"/>
              <w:bottom w:val="nil"/>
              <w:right w:val="nil"/>
            </w:tcBorders>
          </w:tcPr>
          <w:p w14:paraId="2DDC044E" w14:textId="77777777" w:rsidR="000F16C4" w:rsidRDefault="000F16C4" w:rsidP="000972AF">
            <w:pPr>
              <w:widowControl w:val="0"/>
              <w:autoSpaceDE w:val="0"/>
              <w:autoSpaceDN w:val="0"/>
              <w:adjustRightInd w:val="0"/>
              <w:spacing w:after="0" w:line="240" w:lineRule="auto"/>
              <w:jc w:val="center"/>
              <w:rPr>
                <w:szCs w:val="24"/>
              </w:rPr>
            </w:pPr>
          </w:p>
        </w:tc>
      </w:tr>
      <w:tr w:rsidR="000F16C4" w14:paraId="2D7A04AD" w14:textId="77777777" w:rsidTr="000972AF">
        <w:trPr>
          <w:jc w:val="center"/>
        </w:trPr>
        <w:tc>
          <w:tcPr>
            <w:tcW w:w="1427" w:type="pct"/>
            <w:tcBorders>
              <w:top w:val="nil"/>
              <w:left w:val="nil"/>
              <w:bottom w:val="nil"/>
              <w:right w:val="nil"/>
            </w:tcBorders>
          </w:tcPr>
          <w:p w14:paraId="019A93A4" w14:textId="77777777" w:rsidR="000F16C4" w:rsidRDefault="000F16C4" w:rsidP="000972AF">
            <w:pPr>
              <w:widowControl w:val="0"/>
              <w:autoSpaceDE w:val="0"/>
              <w:autoSpaceDN w:val="0"/>
              <w:adjustRightInd w:val="0"/>
              <w:spacing w:after="0" w:line="240" w:lineRule="auto"/>
              <w:rPr>
                <w:szCs w:val="24"/>
              </w:rPr>
            </w:pPr>
            <w:r>
              <w:rPr>
                <w:szCs w:val="24"/>
              </w:rPr>
              <w:t>Constant</w:t>
            </w:r>
          </w:p>
        </w:tc>
        <w:tc>
          <w:tcPr>
            <w:tcW w:w="613" w:type="pct"/>
            <w:tcBorders>
              <w:top w:val="nil"/>
              <w:left w:val="nil"/>
              <w:bottom w:val="nil"/>
              <w:right w:val="nil"/>
            </w:tcBorders>
          </w:tcPr>
          <w:p w14:paraId="221E9E52" w14:textId="77777777" w:rsidR="000F16C4" w:rsidRDefault="000F16C4" w:rsidP="000972AF">
            <w:pPr>
              <w:widowControl w:val="0"/>
              <w:autoSpaceDE w:val="0"/>
              <w:autoSpaceDN w:val="0"/>
              <w:adjustRightInd w:val="0"/>
              <w:spacing w:after="0" w:line="240" w:lineRule="auto"/>
              <w:jc w:val="center"/>
              <w:rPr>
                <w:szCs w:val="24"/>
              </w:rPr>
            </w:pPr>
            <w:r>
              <w:rPr>
                <w:szCs w:val="24"/>
              </w:rPr>
              <w:t>0.05***</w:t>
            </w:r>
          </w:p>
        </w:tc>
        <w:tc>
          <w:tcPr>
            <w:tcW w:w="823" w:type="pct"/>
            <w:tcBorders>
              <w:top w:val="nil"/>
              <w:left w:val="nil"/>
              <w:bottom w:val="nil"/>
              <w:right w:val="nil"/>
            </w:tcBorders>
          </w:tcPr>
          <w:p w14:paraId="0BAC7BEC"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611" w:type="pct"/>
            <w:tcBorders>
              <w:top w:val="nil"/>
              <w:left w:val="nil"/>
              <w:bottom w:val="nil"/>
              <w:right w:val="nil"/>
            </w:tcBorders>
          </w:tcPr>
          <w:p w14:paraId="731ABA53" w14:textId="77777777" w:rsidR="000F16C4" w:rsidRDefault="000F16C4" w:rsidP="000972AF">
            <w:pPr>
              <w:widowControl w:val="0"/>
              <w:autoSpaceDE w:val="0"/>
              <w:autoSpaceDN w:val="0"/>
              <w:adjustRightInd w:val="0"/>
              <w:spacing w:after="0" w:line="240" w:lineRule="auto"/>
              <w:jc w:val="center"/>
              <w:rPr>
                <w:szCs w:val="24"/>
              </w:rPr>
            </w:pPr>
            <w:r>
              <w:rPr>
                <w:szCs w:val="24"/>
              </w:rPr>
              <w:t>0.14***</w:t>
            </w:r>
          </w:p>
        </w:tc>
        <w:tc>
          <w:tcPr>
            <w:tcW w:w="853" w:type="pct"/>
            <w:tcBorders>
              <w:top w:val="nil"/>
              <w:left w:val="nil"/>
              <w:bottom w:val="nil"/>
              <w:right w:val="nil"/>
            </w:tcBorders>
          </w:tcPr>
          <w:p w14:paraId="636B0370" w14:textId="77777777" w:rsidR="000F16C4" w:rsidRDefault="000F16C4" w:rsidP="000972AF">
            <w:pPr>
              <w:widowControl w:val="0"/>
              <w:autoSpaceDE w:val="0"/>
              <w:autoSpaceDN w:val="0"/>
              <w:adjustRightInd w:val="0"/>
              <w:spacing w:after="0" w:line="240" w:lineRule="auto"/>
              <w:jc w:val="center"/>
              <w:rPr>
                <w:szCs w:val="24"/>
              </w:rPr>
            </w:pPr>
            <w:r>
              <w:rPr>
                <w:szCs w:val="24"/>
              </w:rPr>
              <w:t>0.08***</w:t>
            </w:r>
          </w:p>
        </w:tc>
        <w:tc>
          <w:tcPr>
            <w:tcW w:w="673" w:type="pct"/>
            <w:tcBorders>
              <w:top w:val="nil"/>
              <w:left w:val="nil"/>
              <w:bottom w:val="nil"/>
              <w:right w:val="nil"/>
            </w:tcBorders>
          </w:tcPr>
          <w:p w14:paraId="1B6FDCE5" w14:textId="77777777" w:rsidR="000F16C4" w:rsidRDefault="000F16C4" w:rsidP="000972AF">
            <w:pPr>
              <w:widowControl w:val="0"/>
              <w:autoSpaceDE w:val="0"/>
              <w:autoSpaceDN w:val="0"/>
              <w:adjustRightInd w:val="0"/>
              <w:spacing w:after="0" w:line="240" w:lineRule="auto"/>
              <w:jc w:val="center"/>
              <w:rPr>
                <w:szCs w:val="24"/>
              </w:rPr>
            </w:pPr>
            <w:r>
              <w:rPr>
                <w:szCs w:val="24"/>
              </w:rPr>
              <w:t>0.07***</w:t>
            </w:r>
          </w:p>
        </w:tc>
      </w:tr>
      <w:tr w:rsidR="000F16C4" w14:paraId="3B5B5B1B" w14:textId="77777777" w:rsidTr="000972AF">
        <w:trPr>
          <w:jc w:val="center"/>
        </w:trPr>
        <w:tc>
          <w:tcPr>
            <w:tcW w:w="1427" w:type="pct"/>
            <w:tcBorders>
              <w:top w:val="nil"/>
              <w:left w:val="nil"/>
              <w:bottom w:val="nil"/>
              <w:right w:val="nil"/>
            </w:tcBorders>
          </w:tcPr>
          <w:p w14:paraId="3D121F43" w14:textId="77777777" w:rsidR="000F16C4" w:rsidRDefault="000F16C4" w:rsidP="000972AF">
            <w:pPr>
              <w:widowControl w:val="0"/>
              <w:autoSpaceDE w:val="0"/>
              <w:autoSpaceDN w:val="0"/>
              <w:adjustRightInd w:val="0"/>
              <w:spacing w:after="0" w:line="240" w:lineRule="auto"/>
              <w:rPr>
                <w:szCs w:val="24"/>
              </w:rPr>
            </w:pPr>
          </w:p>
        </w:tc>
        <w:tc>
          <w:tcPr>
            <w:tcW w:w="613" w:type="pct"/>
            <w:tcBorders>
              <w:top w:val="nil"/>
              <w:left w:val="nil"/>
              <w:bottom w:val="nil"/>
              <w:right w:val="nil"/>
            </w:tcBorders>
          </w:tcPr>
          <w:p w14:paraId="7B4632F0" w14:textId="77777777" w:rsidR="000F16C4" w:rsidRDefault="000F16C4" w:rsidP="000972AF">
            <w:pPr>
              <w:widowControl w:val="0"/>
              <w:autoSpaceDE w:val="0"/>
              <w:autoSpaceDN w:val="0"/>
              <w:adjustRightInd w:val="0"/>
              <w:spacing w:after="0" w:line="240" w:lineRule="auto"/>
              <w:jc w:val="center"/>
              <w:rPr>
                <w:szCs w:val="24"/>
              </w:rPr>
            </w:pPr>
            <w:r>
              <w:rPr>
                <w:szCs w:val="24"/>
              </w:rPr>
              <w:t>(0.02)</w:t>
            </w:r>
          </w:p>
        </w:tc>
        <w:tc>
          <w:tcPr>
            <w:tcW w:w="823" w:type="pct"/>
            <w:tcBorders>
              <w:top w:val="nil"/>
              <w:left w:val="nil"/>
              <w:bottom w:val="nil"/>
              <w:right w:val="nil"/>
            </w:tcBorders>
          </w:tcPr>
          <w:p w14:paraId="4F1D2D14" w14:textId="77777777" w:rsidR="000F16C4" w:rsidRDefault="000F16C4" w:rsidP="000972AF">
            <w:pPr>
              <w:widowControl w:val="0"/>
              <w:autoSpaceDE w:val="0"/>
              <w:autoSpaceDN w:val="0"/>
              <w:adjustRightInd w:val="0"/>
              <w:spacing w:after="0" w:line="240" w:lineRule="auto"/>
              <w:jc w:val="center"/>
              <w:rPr>
                <w:szCs w:val="24"/>
              </w:rPr>
            </w:pPr>
            <w:r>
              <w:rPr>
                <w:szCs w:val="24"/>
              </w:rPr>
              <w:t>(0.01)</w:t>
            </w:r>
          </w:p>
        </w:tc>
        <w:tc>
          <w:tcPr>
            <w:tcW w:w="611" w:type="pct"/>
            <w:tcBorders>
              <w:top w:val="nil"/>
              <w:left w:val="nil"/>
              <w:bottom w:val="nil"/>
              <w:right w:val="nil"/>
            </w:tcBorders>
          </w:tcPr>
          <w:p w14:paraId="2D5736E7" w14:textId="77777777" w:rsidR="000F16C4" w:rsidRDefault="000F16C4" w:rsidP="000972AF">
            <w:pPr>
              <w:widowControl w:val="0"/>
              <w:autoSpaceDE w:val="0"/>
              <w:autoSpaceDN w:val="0"/>
              <w:adjustRightInd w:val="0"/>
              <w:spacing w:after="0" w:line="240" w:lineRule="auto"/>
              <w:jc w:val="center"/>
              <w:rPr>
                <w:szCs w:val="24"/>
              </w:rPr>
            </w:pPr>
            <w:r>
              <w:rPr>
                <w:szCs w:val="24"/>
              </w:rPr>
              <w:t>(0.04)</w:t>
            </w:r>
          </w:p>
        </w:tc>
        <w:tc>
          <w:tcPr>
            <w:tcW w:w="853" w:type="pct"/>
            <w:tcBorders>
              <w:top w:val="nil"/>
              <w:left w:val="nil"/>
              <w:bottom w:val="nil"/>
              <w:right w:val="nil"/>
            </w:tcBorders>
          </w:tcPr>
          <w:p w14:paraId="05E1FF35"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673" w:type="pct"/>
            <w:tcBorders>
              <w:top w:val="nil"/>
              <w:left w:val="nil"/>
              <w:bottom w:val="nil"/>
              <w:right w:val="nil"/>
            </w:tcBorders>
          </w:tcPr>
          <w:p w14:paraId="4A084C13" w14:textId="77777777" w:rsidR="000F16C4" w:rsidRDefault="000F16C4" w:rsidP="000972AF">
            <w:pPr>
              <w:widowControl w:val="0"/>
              <w:autoSpaceDE w:val="0"/>
              <w:autoSpaceDN w:val="0"/>
              <w:adjustRightInd w:val="0"/>
              <w:spacing w:after="0" w:line="240" w:lineRule="auto"/>
              <w:jc w:val="center"/>
              <w:rPr>
                <w:szCs w:val="24"/>
              </w:rPr>
            </w:pPr>
            <w:r>
              <w:rPr>
                <w:szCs w:val="24"/>
              </w:rPr>
              <w:t>(0.02)</w:t>
            </w:r>
          </w:p>
        </w:tc>
      </w:tr>
      <w:tr w:rsidR="000F16C4" w14:paraId="13D4B94F" w14:textId="77777777" w:rsidTr="000972AF">
        <w:trPr>
          <w:jc w:val="center"/>
        </w:trPr>
        <w:tc>
          <w:tcPr>
            <w:tcW w:w="1427" w:type="pct"/>
            <w:tcBorders>
              <w:top w:val="nil"/>
              <w:left w:val="nil"/>
              <w:bottom w:val="nil"/>
              <w:right w:val="nil"/>
            </w:tcBorders>
          </w:tcPr>
          <w:p w14:paraId="3AC2EB5B" w14:textId="77777777" w:rsidR="000F16C4" w:rsidRDefault="000F16C4" w:rsidP="000972AF">
            <w:pPr>
              <w:widowControl w:val="0"/>
              <w:autoSpaceDE w:val="0"/>
              <w:autoSpaceDN w:val="0"/>
              <w:adjustRightInd w:val="0"/>
              <w:spacing w:after="0" w:line="240" w:lineRule="auto"/>
              <w:rPr>
                <w:szCs w:val="24"/>
              </w:rPr>
            </w:pPr>
          </w:p>
        </w:tc>
        <w:tc>
          <w:tcPr>
            <w:tcW w:w="613" w:type="pct"/>
            <w:tcBorders>
              <w:top w:val="nil"/>
              <w:left w:val="nil"/>
              <w:bottom w:val="nil"/>
              <w:right w:val="nil"/>
            </w:tcBorders>
          </w:tcPr>
          <w:p w14:paraId="62CBE603" w14:textId="77777777" w:rsidR="000F16C4" w:rsidRDefault="000F16C4" w:rsidP="000972AF">
            <w:pPr>
              <w:widowControl w:val="0"/>
              <w:autoSpaceDE w:val="0"/>
              <w:autoSpaceDN w:val="0"/>
              <w:adjustRightInd w:val="0"/>
              <w:spacing w:after="0" w:line="240" w:lineRule="auto"/>
              <w:jc w:val="center"/>
              <w:rPr>
                <w:szCs w:val="24"/>
              </w:rPr>
            </w:pPr>
          </w:p>
        </w:tc>
        <w:tc>
          <w:tcPr>
            <w:tcW w:w="823" w:type="pct"/>
            <w:tcBorders>
              <w:top w:val="nil"/>
              <w:left w:val="nil"/>
              <w:bottom w:val="nil"/>
              <w:right w:val="nil"/>
            </w:tcBorders>
          </w:tcPr>
          <w:p w14:paraId="4343E6C5" w14:textId="77777777" w:rsidR="000F16C4" w:rsidRDefault="000F16C4" w:rsidP="000972AF">
            <w:pPr>
              <w:widowControl w:val="0"/>
              <w:autoSpaceDE w:val="0"/>
              <w:autoSpaceDN w:val="0"/>
              <w:adjustRightInd w:val="0"/>
              <w:spacing w:after="0" w:line="240" w:lineRule="auto"/>
              <w:jc w:val="center"/>
              <w:rPr>
                <w:szCs w:val="24"/>
              </w:rPr>
            </w:pPr>
          </w:p>
        </w:tc>
        <w:tc>
          <w:tcPr>
            <w:tcW w:w="611" w:type="pct"/>
            <w:tcBorders>
              <w:top w:val="nil"/>
              <w:left w:val="nil"/>
              <w:bottom w:val="nil"/>
              <w:right w:val="nil"/>
            </w:tcBorders>
          </w:tcPr>
          <w:p w14:paraId="1EF8D9B4" w14:textId="77777777" w:rsidR="000F16C4" w:rsidRDefault="000F16C4" w:rsidP="000972AF">
            <w:pPr>
              <w:widowControl w:val="0"/>
              <w:autoSpaceDE w:val="0"/>
              <w:autoSpaceDN w:val="0"/>
              <w:adjustRightInd w:val="0"/>
              <w:spacing w:after="0" w:line="240" w:lineRule="auto"/>
              <w:jc w:val="center"/>
              <w:rPr>
                <w:szCs w:val="24"/>
              </w:rPr>
            </w:pPr>
          </w:p>
        </w:tc>
        <w:tc>
          <w:tcPr>
            <w:tcW w:w="853" w:type="pct"/>
            <w:tcBorders>
              <w:top w:val="nil"/>
              <w:left w:val="nil"/>
              <w:bottom w:val="nil"/>
              <w:right w:val="nil"/>
            </w:tcBorders>
          </w:tcPr>
          <w:p w14:paraId="4BC48277" w14:textId="77777777" w:rsidR="000F16C4" w:rsidRDefault="000F16C4" w:rsidP="000972AF">
            <w:pPr>
              <w:widowControl w:val="0"/>
              <w:autoSpaceDE w:val="0"/>
              <w:autoSpaceDN w:val="0"/>
              <w:adjustRightInd w:val="0"/>
              <w:spacing w:after="0" w:line="240" w:lineRule="auto"/>
              <w:jc w:val="center"/>
              <w:rPr>
                <w:szCs w:val="24"/>
              </w:rPr>
            </w:pPr>
          </w:p>
        </w:tc>
        <w:tc>
          <w:tcPr>
            <w:tcW w:w="673" w:type="pct"/>
            <w:tcBorders>
              <w:top w:val="nil"/>
              <w:left w:val="nil"/>
              <w:bottom w:val="nil"/>
              <w:right w:val="nil"/>
            </w:tcBorders>
          </w:tcPr>
          <w:p w14:paraId="4CCDF249" w14:textId="77777777" w:rsidR="000F16C4" w:rsidRDefault="000F16C4" w:rsidP="000972AF">
            <w:pPr>
              <w:widowControl w:val="0"/>
              <w:autoSpaceDE w:val="0"/>
              <w:autoSpaceDN w:val="0"/>
              <w:adjustRightInd w:val="0"/>
              <w:spacing w:after="0" w:line="240" w:lineRule="auto"/>
              <w:jc w:val="center"/>
              <w:rPr>
                <w:szCs w:val="24"/>
              </w:rPr>
            </w:pPr>
          </w:p>
        </w:tc>
      </w:tr>
      <w:tr w:rsidR="000F16C4" w14:paraId="6215F1E0" w14:textId="77777777" w:rsidTr="000972AF">
        <w:trPr>
          <w:jc w:val="center"/>
        </w:trPr>
        <w:tc>
          <w:tcPr>
            <w:tcW w:w="1427" w:type="pct"/>
            <w:tcBorders>
              <w:top w:val="nil"/>
              <w:left w:val="nil"/>
              <w:bottom w:val="nil"/>
              <w:right w:val="nil"/>
            </w:tcBorders>
          </w:tcPr>
          <w:p w14:paraId="62D5B68E" w14:textId="77777777" w:rsidR="000F16C4" w:rsidRDefault="000F16C4" w:rsidP="000972AF">
            <w:pPr>
              <w:widowControl w:val="0"/>
              <w:autoSpaceDE w:val="0"/>
              <w:autoSpaceDN w:val="0"/>
              <w:adjustRightInd w:val="0"/>
              <w:spacing w:after="0" w:line="240" w:lineRule="auto"/>
              <w:rPr>
                <w:szCs w:val="24"/>
              </w:rPr>
            </w:pPr>
            <w:r>
              <w:rPr>
                <w:szCs w:val="24"/>
              </w:rPr>
              <w:t>N</w:t>
            </w:r>
          </w:p>
        </w:tc>
        <w:tc>
          <w:tcPr>
            <w:tcW w:w="613" w:type="pct"/>
            <w:tcBorders>
              <w:top w:val="nil"/>
              <w:left w:val="nil"/>
              <w:bottom w:val="nil"/>
              <w:right w:val="nil"/>
            </w:tcBorders>
          </w:tcPr>
          <w:p w14:paraId="3BC961E4" w14:textId="77777777" w:rsidR="000F16C4" w:rsidRDefault="000F16C4" w:rsidP="000972AF">
            <w:pPr>
              <w:widowControl w:val="0"/>
              <w:autoSpaceDE w:val="0"/>
              <w:autoSpaceDN w:val="0"/>
              <w:adjustRightInd w:val="0"/>
              <w:spacing w:after="0" w:line="240" w:lineRule="auto"/>
              <w:jc w:val="center"/>
              <w:rPr>
                <w:szCs w:val="24"/>
              </w:rPr>
            </w:pPr>
            <w:r>
              <w:rPr>
                <w:szCs w:val="24"/>
              </w:rPr>
              <w:t>6,363</w:t>
            </w:r>
          </w:p>
        </w:tc>
        <w:tc>
          <w:tcPr>
            <w:tcW w:w="823" w:type="pct"/>
            <w:tcBorders>
              <w:top w:val="nil"/>
              <w:left w:val="nil"/>
              <w:bottom w:val="nil"/>
              <w:right w:val="nil"/>
            </w:tcBorders>
          </w:tcPr>
          <w:p w14:paraId="37BD4EC8" w14:textId="77777777" w:rsidR="000F16C4" w:rsidRDefault="000F16C4" w:rsidP="000972AF">
            <w:pPr>
              <w:widowControl w:val="0"/>
              <w:autoSpaceDE w:val="0"/>
              <w:autoSpaceDN w:val="0"/>
              <w:adjustRightInd w:val="0"/>
              <w:spacing w:after="0" w:line="240" w:lineRule="auto"/>
              <w:jc w:val="center"/>
              <w:rPr>
                <w:szCs w:val="24"/>
              </w:rPr>
            </w:pPr>
            <w:r>
              <w:rPr>
                <w:szCs w:val="24"/>
              </w:rPr>
              <w:t>6,341</w:t>
            </w:r>
          </w:p>
        </w:tc>
        <w:tc>
          <w:tcPr>
            <w:tcW w:w="611" w:type="pct"/>
            <w:tcBorders>
              <w:top w:val="nil"/>
              <w:left w:val="nil"/>
              <w:bottom w:val="nil"/>
              <w:right w:val="nil"/>
            </w:tcBorders>
          </w:tcPr>
          <w:p w14:paraId="74841828" w14:textId="77777777" w:rsidR="000F16C4" w:rsidRDefault="000F16C4" w:rsidP="000972AF">
            <w:pPr>
              <w:widowControl w:val="0"/>
              <w:autoSpaceDE w:val="0"/>
              <w:autoSpaceDN w:val="0"/>
              <w:adjustRightInd w:val="0"/>
              <w:spacing w:after="0" w:line="240" w:lineRule="auto"/>
              <w:jc w:val="center"/>
              <w:rPr>
                <w:szCs w:val="24"/>
              </w:rPr>
            </w:pPr>
            <w:r>
              <w:rPr>
                <w:szCs w:val="24"/>
              </w:rPr>
              <w:t>6,378</w:t>
            </w:r>
          </w:p>
        </w:tc>
        <w:tc>
          <w:tcPr>
            <w:tcW w:w="853" w:type="pct"/>
            <w:tcBorders>
              <w:top w:val="nil"/>
              <w:left w:val="nil"/>
              <w:bottom w:val="nil"/>
              <w:right w:val="nil"/>
            </w:tcBorders>
          </w:tcPr>
          <w:p w14:paraId="0A9FBE01" w14:textId="77777777" w:rsidR="000F16C4" w:rsidRDefault="000F16C4" w:rsidP="000972AF">
            <w:pPr>
              <w:widowControl w:val="0"/>
              <w:autoSpaceDE w:val="0"/>
              <w:autoSpaceDN w:val="0"/>
              <w:adjustRightInd w:val="0"/>
              <w:spacing w:after="0" w:line="240" w:lineRule="auto"/>
              <w:jc w:val="center"/>
              <w:rPr>
                <w:szCs w:val="24"/>
              </w:rPr>
            </w:pPr>
            <w:r>
              <w:rPr>
                <w:szCs w:val="24"/>
              </w:rPr>
              <w:t>5,650</w:t>
            </w:r>
          </w:p>
        </w:tc>
        <w:tc>
          <w:tcPr>
            <w:tcW w:w="673" w:type="pct"/>
            <w:tcBorders>
              <w:top w:val="nil"/>
              <w:left w:val="nil"/>
              <w:bottom w:val="nil"/>
              <w:right w:val="nil"/>
            </w:tcBorders>
          </w:tcPr>
          <w:p w14:paraId="2D48EF6D" w14:textId="77777777" w:rsidR="000F16C4" w:rsidRDefault="000F16C4" w:rsidP="000972AF">
            <w:pPr>
              <w:widowControl w:val="0"/>
              <w:autoSpaceDE w:val="0"/>
              <w:autoSpaceDN w:val="0"/>
              <w:adjustRightInd w:val="0"/>
              <w:spacing w:after="0" w:line="240" w:lineRule="auto"/>
              <w:jc w:val="center"/>
              <w:rPr>
                <w:szCs w:val="24"/>
              </w:rPr>
            </w:pPr>
            <w:r>
              <w:rPr>
                <w:szCs w:val="24"/>
              </w:rPr>
              <w:t>6,061</w:t>
            </w:r>
          </w:p>
        </w:tc>
      </w:tr>
      <w:tr w:rsidR="000F16C4" w14:paraId="0BF6A897" w14:textId="77777777" w:rsidTr="000972AF">
        <w:tblPrEx>
          <w:tblBorders>
            <w:bottom w:val="single" w:sz="6" w:space="0" w:color="auto"/>
          </w:tblBorders>
        </w:tblPrEx>
        <w:trPr>
          <w:jc w:val="center"/>
        </w:trPr>
        <w:tc>
          <w:tcPr>
            <w:tcW w:w="1427" w:type="pct"/>
            <w:tcBorders>
              <w:top w:val="nil"/>
              <w:left w:val="nil"/>
              <w:bottom w:val="single" w:sz="6" w:space="0" w:color="auto"/>
              <w:right w:val="nil"/>
            </w:tcBorders>
          </w:tcPr>
          <w:p w14:paraId="7EED10F0" w14:textId="77777777" w:rsidR="000F16C4" w:rsidRDefault="000F16C4" w:rsidP="000972AF">
            <w:pPr>
              <w:widowControl w:val="0"/>
              <w:autoSpaceDE w:val="0"/>
              <w:autoSpaceDN w:val="0"/>
              <w:adjustRightInd w:val="0"/>
              <w:spacing w:after="0" w:line="240" w:lineRule="auto"/>
              <w:rPr>
                <w:szCs w:val="24"/>
              </w:rPr>
            </w:pPr>
            <w:r>
              <w:rPr>
                <w:szCs w:val="24"/>
              </w:rPr>
              <w:t>Pseudo R</w:t>
            </w:r>
            <w:r w:rsidRPr="00C861B5">
              <w:rPr>
                <w:szCs w:val="24"/>
                <w:vertAlign w:val="superscript"/>
              </w:rPr>
              <w:t>2</w:t>
            </w:r>
          </w:p>
        </w:tc>
        <w:tc>
          <w:tcPr>
            <w:tcW w:w="613" w:type="pct"/>
            <w:tcBorders>
              <w:top w:val="nil"/>
              <w:left w:val="nil"/>
              <w:bottom w:val="single" w:sz="6" w:space="0" w:color="auto"/>
              <w:right w:val="nil"/>
            </w:tcBorders>
          </w:tcPr>
          <w:p w14:paraId="67AFBCF9" w14:textId="77777777" w:rsidR="000F16C4" w:rsidRDefault="000F16C4" w:rsidP="000972AF">
            <w:pPr>
              <w:widowControl w:val="0"/>
              <w:autoSpaceDE w:val="0"/>
              <w:autoSpaceDN w:val="0"/>
              <w:adjustRightInd w:val="0"/>
              <w:spacing w:after="0" w:line="240" w:lineRule="auto"/>
              <w:jc w:val="center"/>
              <w:rPr>
                <w:szCs w:val="24"/>
              </w:rPr>
            </w:pPr>
            <w:r>
              <w:rPr>
                <w:szCs w:val="24"/>
              </w:rPr>
              <w:t>0.26</w:t>
            </w:r>
          </w:p>
        </w:tc>
        <w:tc>
          <w:tcPr>
            <w:tcW w:w="823" w:type="pct"/>
            <w:tcBorders>
              <w:top w:val="nil"/>
              <w:left w:val="nil"/>
              <w:bottom w:val="single" w:sz="6" w:space="0" w:color="auto"/>
              <w:right w:val="nil"/>
            </w:tcBorders>
          </w:tcPr>
          <w:p w14:paraId="5BF18AFA" w14:textId="77777777" w:rsidR="000F16C4" w:rsidRDefault="000F16C4" w:rsidP="000972AF">
            <w:pPr>
              <w:widowControl w:val="0"/>
              <w:autoSpaceDE w:val="0"/>
              <w:autoSpaceDN w:val="0"/>
              <w:adjustRightInd w:val="0"/>
              <w:spacing w:after="0" w:line="240" w:lineRule="auto"/>
              <w:jc w:val="center"/>
              <w:rPr>
                <w:szCs w:val="24"/>
              </w:rPr>
            </w:pPr>
            <w:r>
              <w:rPr>
                <w:szCs w:val="24"/>
              </w:rPr>
              <w:t>0.24</w:t>
            </w:r>
          </w:p>
        </w:tc>
        <w:tc>
          <w:tcPr>
            <w:tcW w:w="611" w:type="pct"/>
            <w:tcBorders>
              <w:top w:val="nil"/>
              <w:left w:val="nil"/>
              <w:bottom w:val="single" w:sz="6" w:space="0" w:color="auto"/>
              <w:right w:val="nil"/>
            </w:tcBorders>
          </w:tcPr>
          <w:p w14:paraId="5C6D6F96" w14:textId="77777777" w:rsidR="000F16C4" w:rsidRDefault="000F16C4" w:rsidP="000972AF">
            <w:pPr>
              <w:widowControl w:val="0"/>
              <w:autoSpaceDE w:val="0"/>
              <w:autoSpaceDN w:val="0"/>
              <w:adjustRightInd w:val="0"/>
              <w:spacing w:after="0" w:line="240" w:lineRule="auto"/>
              <w:jc w:val="center"/>
              <w:rPr>
                <w:szCs w:val="24"/>
              </w:rPr>
            </w:pPr>
            <w:r>
              <w:rPr>
                <w:szCs w:val="24"/>
              </w:rPr>
              <w:t>0.13</w:t>
            </w:r>
          </w:p>
        </w:tc>
        <w:tc>
          <w:tcPr>
            <w:tcW w:w="853" w:type="pct"/>
            <w:tcBorders>
              <w:top w:val="nil"/>
              <w:left w:val="nil"/>
              <w:bottom w:val="single" w:sz="6" w:space="0" w:color="auto"/>
              <w:right w:val="nil"/>
            </w:tcBorders>
          </w:tcPr>
          <w:p w14:paraId="6D5EB45E" w14:textId="77777777" w:rsidR="000F16C4" w:rsidRDefault="000F16C4" w:rsidP="000972AF">
            <w:pPr>
              <w:widowControl w:val="0"/>
              <w:autoSpaceDE w:val="0"/>
              <w:autoSpaceDN w:val="0"/>
              <w:adjustRightInd w:val="0"/>
              <w:spacing w:after="0" w:line="240" w:lineRule="auto"/>
              <w:jc w:val="center"/>
              <w:rPr>
                <w:szCs w:val="24"/>
              </w:rPr>
            </w:pPr>
            <w:r>
              <w:rPr>
                <w:szCs w:val="24"/>
              </w:rPr>
              <w:t>0.08</w:t>
            </w:r>
          </w:p>
        </w:tc>
        <w:tc>
          <w:tcPr>
            <w:tcW w:w="673" w:type="pct"/>
            <w:tcBorders>
              <w:top w:val="nil"/>
              <w:left w:val="nil"/>
              <w:bottom w:val="single" w:sz="6" w:space="0" w:color="auto"/>
              <w:right w:val="nil"/>
            </w:tcBorders>
          </w:tcPr>
          <w:p w14:paraId="653A630C" w14:textId="77777777" w:rsidR="000F16C4" w:rsidRDefault="000F16C4" w:rsidP="000972AF">
            <w:pPr>
              <w:widowControl w:val="0"/>
              <w:autoSpaceDE w:val="0"/>
              <w:autoSpaceDN w:val="0"/>
              <w:adjustRightInd w:val="0"/>
              <w:spacing w:after="0" w:line="240" w:lineRule="auto"/>
              <w:jc w:val="center"/>
              <w:rPr>
                <w:szCs w:val="24"/>
              </w:rPr>
            </w:pPr>
            <w:r>
              <w:rPr>
                <w:szCs w:val="24"/>
              </w:rPr>
              <w:t>0.11</w:t>
            </w:r>
          </w:p>
        </w:tc>
      </w:tr>
    </w:tbl>
    <w:p w14:paraId="10AE6B8B" w14:textId="77777777" w:rsidR="000F16C4" w:rsidRPr="00406E9B" w:rsidRDefault="000F16C4" w:rsidP="000F16C4">
      <w:pPr>
        <w:widowControl w:val="0"/>
        <w:autoSpaceDE w:val="0"/>
        <w:autoSpaceDN w:val="0"/>
        <w:adjustRightInd w:val="0"/>
        <w:spacing w:after="0" w:line="240" w:lineRule="auto"/>
        <w:jc w:val="center"/>
        <w:rPr>
          <w:szCs w:val="24"/>
          <w:lang w:val="en-GB"/>
        </w:rPr>
      </w:pPr>
      <w:r>
        <w:rPr>
          <w:szCs w:val="24"/>
          <w:lang w:val="en-GB"/>
        </w:rPr>
        <w:t xml:space="preserve">Odds ratios. </w:t>
      </w:r>
      <w:r w:rsidRPr="00406E9B">
        <w:rPr>
          <w:szCs w:val="24"/>
          <w:lang w:val="en-GB"/>
        </w:rPr>
        <w:t xml:space="preserve">Robust </w:t>
      </w:r>
      <w:r>
        <w:rPr>
          <w:szCs w:val="24"/>
          <w:lang w:val="en-GB"/>
        </w:rPr>
        <w:t>standard errors (clustered over firms)</w:t>
      </w:r>
      <w:r w:rsidRPr="00406E9B">
        <w:rPr>
          <w:szCs w:val="24"/>
          <w:lang w:val="en-GB"/>
        </w:rPr>
        <w:t xml:space="preserve"> in parentheses</w:t>
      </w:r>
      <w:r>
        <w:rPr>
          <w:szCs w:val="24"/>
          <w:lang w:val="en-GB"/>
        </w:rPr>
        <w:t>.</w:t>
      </w:r>
    </w:p>
    <w:p w14:paraId="0E60804D" w14:textId="77777777" w:rsidR="000F16C4" w:rsidRPr="00406E9B" w:rsidRDefault="000F16C4" w:rsidP="000F16C4">
      <w:pPr>
        <w:widowControl w:val="0"/>
        <w:autoSpaceDE w:val="0"/>
        <w:autoSpaceDN w:val="0"/>
        <w:adjustRightInd w:val="0"/>
        <w:spacing w:after="0" w:line="240" w:lineRule="auto"/>
        <w:jc w:val="center"/>
        <w:rPr>
          <w:szCs w:val="24"/>
          <w:lang w:val="en-GB"/>
        </w:rPr>
      </w:pPr>
      <w:r w:rsidRPr="00406E9B">
        <w:rPr>
          <w:szCs w:val="24"/>
          <w:lang w:val="en-GB"/>
        </w:rPr>
        <w:t>*** p&lt;</w:t>
      </w:r>
      <w:r>
        <w:rPr>
          <w:szCs w:val="24"/>
          <w:lang w:val="en-GB"/>
        </w:rPr>
        <w:t>.001, ** p&lt;.01, * p&lt;</w:t>
      </w:r>
      <w:r w:rsidRPr="00406E9B">
        <w:rPr>
          <w:szCs w:val="24"/>
          <w:lang w:val="en-GB"/>
        </w:rPr>
        <w:t>.05, + p&lt;.10</w:t>
      </w:r>
    </w:p>
    <w:p w14:paraId="295CAFAE" w14:textId="77777777" w:rsidR="004B3AB5" w:rsidRPr="000050B8" w:rsidRDefault="004B3AB5" w:rsidP="00C43B94">
      <w:pPr>
        <w:spacing w:line="480" w:lineRule="auto"/>
        <w:rPr>
          <w:lang w:val="en-GB"/>
        </w:rPr>
      </w:pPr>
    </w:p>
    <w:p w14:paraId="6C83E77C" w14:textId="2F1AFDA9" w:rsidR="004B3AB5" w:rsidRPr="000050B8" w:rsidRDefault="004B3AB5" w:rsidP="00C43B94">
      <w:pPr>
        <w:spacing w:line="480" w:lineRule="auto"/>
        <w:rPr>
          <w:lang w:val="en-GB"/>
        </w:rPr>
      </w:pPr>
      <w:r>
        <w:rPr>
          <w:lang w:val="en-GB"/>
        </w:rPr>
        <w:t>L</w:t>
      </w:r>
      <w:r w:rsidRPr="000050B8">
        <w:rPr>
          <w:lang w:val="en-GB"/>
        </w:rPr>
        <w:t xml:space="preserve">ooking </w:t>
      </w:r>
      <w:r>
        <w:rPr>
          <w:lang w:val="en-GB"/>
        </w:rPr>
        <w:t xml:space="preserve">first </w:t>
      </w:r>
      <w:r w:rsidRPr="000050B8">
        <w:rPr>
          <w:lang w:val="en-GB"/>
        </w:rPr>
        <w:t xml:space="preserve">at the </w:t>
      </w:r>
      <w:r>
        <w:rPr>
          <w:lang w:val="en-GB"/>
        </w:rPr>
        <w:t>odds ratio</w:t>
      </w:r>
      <w:r w:rsidRPr="000050B8">
        <w:rPr>
          <w:lang w:val="en-GB"/>
        </w:rPr>
        <w:t>s for the control variables</w:t>
      </w:r>
      <w:r>
        <w:rPr>
          <w:lang w:val="en-GB"/>
        </w:rPr>
        <w:t>,</w:t>
      </w:r>
      <w:r w:rsidRPr="000050B8">
        <w:rPr>
          <w:lang w:val="en-GB"/>
        </w:rPr>
        <w:t xml:space="preserve"> </w:t>
      </w:r>
      <w:r>
        <w:rPr>
          <w:lang w:val="en-GB"/>
        </w:rPr>
        <w:t>t</w:t>
      </w:r>
      <w:r w:rsidRPr="000050B8">
        <w:rPr>
          <w:lang w:val="en-GB"/>
        </w:rPr>
        <w:t xml:space="preserve">hese go along with expectations and point to the robustness of the analysis. R&amp;D expenditure is strongly and significantly associated with all types of innovation. Firms that invest more in R&amp;D, innovate more, regardless of the type of innovation considered. The share of educated workers is also strongly and significantly associated with innovation, with the exception of process and marketing innovation. </w:t>
      </w:r>
      <w:r>
        <w:rPr>
          <w:lang w:val="en-GB"/>
        </w:rPr>
        <w:t>F</w:t>
      </w:r>
      <w:r w:rsidRPr="000050B8">
        <w:rPr>
          <w:lang w:val="en-GB"/>
        </w:rPr>
        <w:t>irm</w:t>
      </w:r>
      <w:r>
        <w:rPr>
          <w:lang w:val="en-GB"/>
        </w:rPr>
        <w:t xml:space="preserve"> size</w:t>
      </w:r>
      <w:r w:rsidRPr="000050B8">
        <w:rPr>
          <w:lang w:val="en-GB"/>
        </w:rPr>
        <w:t xml:space="preserve"> mainly has a strong positive connection </w:t>
      </w:r>
      <w:r>
        <w:rPr>
          <w:lang w:val="en-GB"/>
        </w:rPr>
        <w:t>with</w:t>
      </w:r>
      <w:r w:rsidRPr="000050B8">
        <w:rPr>
          <w:lang w:val="en-GB"/>
        </w:rPr>
        <w:t xml:space="preserve"> organisational innovation, which will be more relevant in larger organisations. Employment size is </w:t>
      </w:r>
      <w:r w:rsidRPr="000050B8">
        <w:rPr>
          <w:lang w:val="en-GB"/>
        </w:rPr>
        <w:lastRenderedPageBreak/>
        <w:t xml:space="preserve">significantly (at the 90 percent level) negatively associated with the likelihood of new-to-market product innovation. The sector in which a firm operates also matters, as expected, for </w:t>
      </w:r>
      <w:r>
        <w:rPr>
          <w:lang w:val="en-GB"/>
        </w:rPr>
        <w:t>its</w:t>
      </w:r>
      <w:r w:rsidRPr="000050B8">
        <w:rPr>
          <w:lang w:val="en-GB"/>
        </w:rPr>
        <w:t xml:space="preserve"> capacity to innovate.</w:t>
      </w:r>
    </w:p>
    <w:p w14:paraId="053B55D8" w14:textId="0DBF6F7D" w:rsidR="004B3AB5" w:rsidRPr="000050B8" w:rsidRDefault="004B3AB5" w:rsidP="00DA57E4">
      <w:pPr>
        <w:spacing w:line="480" w:lineRule="auto"/>
        <w:rPr>
          <w:lang w:val="en-GB"/>
        </w:rPr>
      </w:pPr>
      <w:r w:rsidRPr="000050B8">
        <w:rPr>
          <w:lang w:val="en-GB"/>
        </w:rPr>
        <w:t xml:space="preserve">The location of the firm in an urban environment is </w:t>
      </w:r>
      <w:r>
        <w:rPr>
          <w:lang w:val="en-GB"/>
        </w:rPr>
        <w:t>linked to</w:t>
      </w:r>
      <w:r w:rsidRPr="000050B8">
        <w:rPr>
          <w:lang w:val="en-GB"/>
        </w:rPr>
        <w:t xml:space="preserve"> a higher likelihood of product innovation (including new-to-market) only. </w:t>
      </w:r>
      <w:r>
        <w:rPr>
          <w:lang w:val="en-GB"/>
        </w:rPr>
        <w:t xml:space="preserve">At the </w:t>
      </w:r>
      <w:r w:rsidRPr="000050B8">
        <w:rPr>
          <w:lang w:val="en-GB"/>
        </w:rPr>
        <w:t xml:space="preserve">95 percent confidence level, the only significant </w:t>
      </w:r>
      <w:r>
        <w:rPr>
          <w:lang w:val="en-GB"/>
        </w:rPr>
        <w:t>odds ratio</w:t>
      </w:r>
      <w:r w:rsidRPr="000050B8">
        <w:rPr>
          <w:lang w:val="en-GB"/>
        </w:rPr>
        <w:t xml:space="preserve"> is for location in big city regions </w:t>
      </w:r>
      <w:r>
        <w:rPr>
          <w:lang w:val="en-GB"/>
        </w:rPr>
        <w:t>on</w:t>
      </w:r>
      <w:r w:rsidRPr="000050B8">
        <w:rPr>
          <w:lang w:val="en-GB"/>
        </w:rPr>
        <w:t xml:space="preserve"> product innovation</w:t>
      </w:r>
      <w:r>
        <w:rPr>
          <w:lang w:val="en-GB"/>
        </w:rPr>
        <w:t xml:space="preserve"> in general</w:t>
      </w:r>
      <w:r w:rsidRPr="000050B8">
        <w:rPr>
          <w:lang w:val="en-GB"/>
        </w:rPr>
        <w:t xml:space="preserve">. This </w:t>
      </w:r>
      <w:r>
        <w:rPr>
          <w:lang w:val="en-GB"/>
        </w:rPr>
        <w:t>is associated with a 28 percent increase in</w:t>
      </w:r>
      <w:r w:rsidRPr="000050B8" w:rsidDel="001B28F2">
        <w:rPr>
          <w:lang w:val="en-GB"/>
        </w:rPr>
        <w:t xml:space="preserve"> </w:t>
      </w:r>
      <w:r w:rsidRPr="000050B8">
        <w:rPr>
          <w:lang w:val="en-GB"/>
        </w:rPr>
        <w:t xml:space="preserve">the odds of innovation compared to rural </w:t>
      </w:r>
      <w:r>
        <w:rPr>
          <w:lang w:val="en-GB"/>
        </w:rPr>
        <w:t>location</w:t>
      </w:r>
      <w:r w:rsidRPr="000050B8">
        <w:rPr>
          <w:lang w:val="en-GB"/>
        </w:rPr>
        <w:t xml:space="preserve">. However, the difference with firms located in medium or small city regions is smaller and not statistically significant. Reducing the confidence level to 90 percent, location in medium-sized city regions is also associated with a higher likelihood of product innovation in general, and location in big or medium-sized city regions with a higher likelihood of new-to-market product innovation specifically. For the latter category, the difference between the big, medium-sized and small city regions is even smaller, </w:t>
      </w:r>
      <w:r>
        <w:rPr>
          <w:lang w:val="en-GB"/>
        </w:rPr>
        <w:t>but</w:t>
      </w:r>
      <w:r w:rsidRPr="000050B8">
        <w:rPr>
          <w:lang w:val="en-GB"/>
        </w:rPr>
        <w:t xml:space="preserve"> firms in </w:t>
      </w:r>
      <w:r>
        <w:rPr>
          <w:lang w:val="en-GB"/>
        </w:rPr>
        <w:t>rural</w:t>
      </w:r>
      <w:r w:rsidRPr="000050B8">
        <w:rPr>
          <w:lang w:val="en-GB"/>
        </w:rPr>
        <w:t xml:space="preserve"> regions </w:t>
      </w:r>
      <w:r>
        <w:rPr>
          <w:lang w:val="en-GB"/>
        </w:rPr>
        <w:t>are</w:t>
      </w:r>
      <w:r w:rsidRPr="000050B8">
        <w:rPr>
          <w:lang w:val="en-GB"/>
        </w:rPr>
        <w:t xml:space="preserve"> less innovative. For other </w:t>
      </w:r>
      <w:r>
        <w:rPr>
          <w:lang w:val="en-GB"/>
        </w:rPr>
        <w:t>types</w:t>
      </w:r>
      <w:r w:rsidRPr="000050B8">
        <w:rPr>
          <w:lang w:val="en-GB"/>
        </w:rPr>
        <w:t xml:space="preserve"> of innovation, location in urban or </w:t>
      </w:r>
      <w:r>
        <w:rPr>
          <w:lang w:val="en-GB"/>
        </w:rPr>
        <w:t>rural</w:t>
      </w:r>
      <w:r w:rsidRPr="000050B8">
        <w:rPr>
          <w:lang w:val="en-GB"/>
        </w:rPr>
        <w:t xml:space="preserve"> regions makes no difference for the likelihood of innovation. For process and organisational innovation, firms in big city regions even tend to be less innovative than rural firms, although these differences are not statistically significant.</w:t>
      </w:r>
    </w:p>
    <w:p w14:paraId="28F802B7" w14:textId="2ECB2673" w:rsidR="004B3AB5" w:rsidRDefault="004B3AB5" w:rsidP="00C43B94">
      <w:pPr>
        <w:spacing w:line="480" w:lineRule="auto"/>
        <w:rPr>
          <w:szCs w:val="24"/>
          <w:lang w:val="en-GB"/>
        </w:rPr>
      </w:pPr>
      <w:r>
        <w:rPr>
          <w:szCs w:val="24"/>
          <w:lang w:val="en-GB"/>
        </w:rPr>
        <w:t>It is worth noting that this does not imply that</w:t>
      </w:r>
      <w:r w:rsidRPr="000050B8">
        <w:rPr>
          <w:szCs w:val="24"/>
          <w:lang w:val="en-GB"/>
        </w:rPr>
        <w:t xml:space="preserve"> there are</w:t>
      </w:r>
      <w:r>
        <w:rPr>
          <w:szCs w:val="24"/>
          <w:lang w:val="en-GB"/>
        </w:rPr>
        <w:t xml:space="preserve"> no</w:t>
      </w:r>
      <w:r w:rsidRPr="000050B8">
        <w:rPr>
          <w:szCs w:val="24"/>
          <w:lang w:val="en-GB"/>
        </w:rPr>
        <w:t xml:space="preserve"> differences in innovation levels between urban and rural areas in Norway. If we fit model (1) following a stepwise approach, location in cities </w:t>
      </w:r>
      <w:r>
        <w:rPr>
          <w:szCs w:val="24"/>
          <w:lang w:val="en-GB"/>
        </w:rPr>
        <w:t xml:space="preserve">is associated with a higher likelihood of </w:t>
      </w:r>
      <w:r w:rsidRPr="000050B8">
        <w:rPr>
          <w:szCs w:val="24"/>
          <w:lang w:val="en-GB"/>
        </w:rPr>
        <w:t xml:space="preserve">all innovation outcomes except process innovation, and with stronger </w:t>
      </w:r>
      <w:r>
        <w:rPr>
          <w:szCs w:val="24"/>
          <w:lang w:val="en-GB"/>
        </w:rPr>
        <w:t>odds ratio</w:t>
      </w:r>
      <w:r w:rsidRPr="000050B8">
        <w:rPr>
          <w:szCs w:val="24"/>
          <w:lang w:val="en-GB"/>
        </w:rPr>
        <w:t xml:space="preserve">s for location in larger cities. However, for organisational innovation, the </w:t>
      </w:r>
      <w:r>
        <w:rPr>
          <w:szCs w:val="24"/>
          <w:lang w:val="en-GB"/>
        </w:rPr>
        <w:t>differences</w:t>
      </w:r>
      <w:r w:rsidRPr="000050B8">
        <w:rPr>
          <w:szCs w:val="24"/>
          <w:lang w:val="en-GB"/>
        </w:rPr>
        <w:t xml:space="preserve"> disappear when controlling for R&amp;D expenditure and firm size, and for marketing innovation, the </w:t>
      </w:r>
      <w:r>
        <w:rPr>
          <w:szCs w:val="24"/>
          <w:lang w:val="en-GB"/>
        </w:rPr>
        <w:t>difference</w:t>
      </w:r>
      <w:r w:rsidRPr="000050B8">
        <w:rPr>
          <w:szCs w:val="24"/>
          <w:lang w:val="en-GB"/>
        </w:rPr>
        <w:t xml:space="preserve"> disappears when also controlling for industry. Hence, the higher levels of innovation in urban areas is mostly a function of firms in these areas being larger, more R&amp;D intensive, and with better access to well-</w:t>
      </w:r>
      <w:r w:rsidRPr="000050B8">
        <w:rPr>
          <w:szCs w:val="24"/>
          <w:lang w:val="en-GB"/>
        </w:rPr>
        <w:lastRenderedPageBreak/>
        <w:t>educated employees (see also Herstad</w:t>
      </w:r>
      <w:r w:rsidR="00113910">
        <w:rPr>
          <w:szCs w:val="24"/>
          <w:lang w:val="en-GB"/>
        </w:rPr>
        <w:t xml:space="preserve">, </w:t>
      </w:r>
      <w:proofErr w:type="spellStart"/>
      <w:r w:rsidR="00113910">
        <w:rPr>
          <w:szCs w:val="24"/>
          <w:lang w:val="en-GB"/>
        </w:rPr>
        <w:t>Sandven</w:t>
      </w:r>
      <w:proofErr w:type="spellEnd"/>
      <w:r w:rsidR="00113910">
        <w:rPr>
          <w:szCs w:val="24"/>
          <w:lang w:val="en-GB"/>
        </w:rPr>
        <w:t>, &amp; Solberg,</w:t>
      </w:r>
      <w:r w:rsidRPr="000050B8">
        <w:rPr>
          <w:szCs w:val="24"/>
          <w:lang w:val="en-GB"/>
        </w:rPr>
        <w:t xml:space="preserve"> 2013; Herstad</w:t>
      </w:r>
      <w:r w:rsidR="00113910">
        <w:rPr>
          <w:szCs w:val="24"/>
          <w:lang w:val="en-GB"/>
        </w:rPr>
        <w:t>,</w:t>
      </w:r>
      <w:r w:rsidRPr="000050B8">
        <w:rPr>
          <w:szCs w:val="24"/>
          <w:lang w:val="en-GB"/>
        </w:rPr>
        <w:t xml:space="preserve"> </w:t>
      </w:r>
      <w:r w:rsidR="00D25241" w:rsidRPr="000050B8">
        <w:rPr>
          <w:szCs w:val="24"/>
          <w:lang w:val="en-GB"/>
        </w:rPr>
        <w:t>201</w:t>
      </w:r>
      <w:r w:rsidR="00D25241">
        <w:rPr>
          <w:szCs w:val="24"/>
          <w:lang w:val="en-GB"/>
        </w:rPr>
        <w:t>8</w:t>
      </w:r>
      <w:r w:rsidRPr="000050B8">
        <w:rPr>
          <w:szCs w:val="24"/>
          <w:lang w:val="en-GB"/>
        </w:rPr>
        <w:t>), as well as of the industry composition of urban areas. When controlling for these characteristics, urban firms perform significantly better only when it comes to product innovation.</w:t>
      </w:r>
    </w:p>
    <w:p w14:paraId="0765BC31" w14:textId="7C5AB19D" w:rsidR="004B3AB5" w:rsidRDefault="004B3AB5" w:rsidP="00C43B94">
      <w:pPr>
        <w:spacing w:line="480" w:lineRule="auto"/>
        <w:rPr>
          <w:lang w:val="en-GB"/>
        </w:rPr>
      </w:pPr>
      <w:r w:rsidRPr="000050B8">
        <w:rPr>
          <w:lang w:val="en-GB"/>
        </w:rPr>
        <w:t xml:space="preserve">The breadth of collaboration with regional partners is associated with a higher likelihood of two types of innovation – process innovation and organisational innovation. The odds of process innovation increase by </w:t>
      </w:r>
      <w:r>
        <w:rPr>
          <w:lang w:val="en-GB"/>
        </w:rPr>
        <w:t>8</w:t>
      </w:r>
      <w:r w:rsidRPr="000050B8">
        <w:rPr>
          <w:lang w:val="en-GB"/>
        </w:rPr>
        <w:t xml:space="preserve"> percent for every additional regional partner used, while the odds of organisational innovation increase by 14 percent. However, collaboration with regional partners has no significant effect for product innovation in general</w:t>
      </w:r>
      <w:r>
        <w:rPr>
          <w:lang w:val="en-GB"/>
        </w:rPr>
        <w:t>,</w:t>
      </w:r>
      <w:r w:rsidRPr="000050B8">
        <w:rPr>
          <w:lang w:val="en-GB"/>
        </w:rPr>
        <w:t xml:space="preserve"> new-to-market product innovation in particular, </w:t>
      </w:r>
      <w:r>
        <w:rPr>
          <w:lang w:val="en-GB"/>
        </w:rPr>
        <w:t>or marketing innovation. M</w:t>
      </w:r>
      <w:r w:rsidRPr="000050B8">
        <w:rPr>
          <w:lang w:val="en-GB"/>
        </w:rPr>
        <w:t xml:space="preserve">ore </w:t>
      </w:r>
      <w:r>
        <w:rPr>
          <w:lang w:val="en-GB"/>
        </w:rPr>
        <w:t>market-oriented</w:t>
      </w:r>
      <w:r w:rsidRPr="000050B8">
        <w:rPr>
          <w:lang w:val="en-GB"/>
        </w:rPr>
        <w:t xml:space="preserve"> innovation is independent </w:t>
      </w:r>
      <w:r>
        <w:rPr>
          <w:lang w:val="en-GB"/>
        </w:rPr>
        <w:t>of</w:t>
      </w:r>
      <w:r w:rsidRPr="000050B8">
        <w:rPr>
          <w:lang w:val="en-GB"/>
        </w:rPr>
        <w:t xml:space="preserve"> local collaboration. For these types of innovation, long-distance collaboration instead appears as the main factor behind innovation. Foreign collaboration is associated with a higher likelihood of product innovation, including new-to-market, as well as </w:t>
      </w:r>
      <w:r>
        <w:rPr>
          <w:lang w:val="en-GB"/>
        </w:rPr>
        <w:t>of</w:t>
      </w:r>
      <w:r w:rsidRPr="000050B8">
        <w:rPr>
          <w:lang w:val="en-GB"/>
        </w:rPr>
        <w:t xml:space="preserve"> marketing innovation. The odds of product innovation in general increase by 13 percent for every additional foreign partner used, while the odds of new-to-market product innovation increase by 7 percent and those of marketing innovation by </w:t>
      </w:r>
      <w:r>
        <w:rPr>
          <w:lang w:val="en-GB"/>
        </w:rPr>
        <w:t>9</w:t>
      </w:r>
      <w:r w:rsidRPr="000050B8">
        <w:rPr>
          <w:lang w:val="en-GB"/>
        </w:rPr>
        <w:t xml:space="preserve"> percent. Process and organisational innovation, in contrast, are not associated with the breadth of foreign collaboration. </w:t>
      </w:r>
    </w:p>
    <w:p w14:paraId="488B3B76" w14:textId="3E5CCF38" w:rsidR="004B3AB5" w:rsidRDefault="004B3AB5" w:rsidP="00B336F5">
      <w:pPr>
        <w:keepNext/>
        <w:spacing w:line="480" w:lineRule="auto"/>
        <w:rPr>
          <w:lang w:val="en-GB"/>
        </w:rPr>
      </w:pPr>
      <w:r w:rsidRPr="000050B8">
        <w:rPr>
          <w:lang w:val="en-GB"/>
        </w:rPr>
        <w:t xml:space="preserve">Hence, two quite different collaboration patterns are connected with the different types of innovation, underlining the need for </w:t>
      </w:r>
      <w:proofErr w:type="spellStart"/>
      <w:r w:rsidRPr="000050B8">
        <w:rPr>
          <w:lang w:val="en-GB"/>
        </w:rPr>
        <w:t>analy</w:t>
      </w:r>
      <w:r>
        <w:rPr>
          <w:lang w:val="en-GB"/>
        </w:rPr>
        <w:t>z</w:t>
      </w:r>
      <w:r w:rsidRPr="000050B8">
        <w:rPr>
          <w:lang w:val="en-GB"/>
        </w:rPr>
        <w:t>ing</w:t>
      </w:r>
      <w:proofErr w:type="spellEnd"/>
      <w:r w:rsidRPr="000050B8">
        <w:rPr>
          <w:lang w:val="en-GB"/>
        </w:rPr>
        <w:t xml:space="preserve"> them separately: </w:t>
      </w:r>
      <w:r>
        <w:rPr>
          <w:lang w:val="en-GB"/>
        </w:rPr>
        <w:t>f</w:t>
      </w:r>
      <w:r w:rsidRPr="000050B8">
        <w:rPr>
          <w:lang w:val="en-GB"/>
        </w:rPr>
        <w:t>oreign collaboration is  more</w:t>
      </w:r>
      <w:r>
        <w:rPr>
          <w:lang w:val="en-GB"/>
        </w:rPr>
        <w:t xml:space="preserve"> closely related to</w:t>
      </w:r>
      <w:r w:rsidRPr="000050B8">
        <w:rPr>
          <w:lang w:val="en-GB"/>
        </w:rPr>
        <w:t xml:space="preserve"> </w:t>
      </w:r>
      <w:r>
        <w:rPr>
          <w:lang w:val="en-GB"/>
        </w:rPr>
        <w:t>market-oriented</w:t>
      </w:r>
      <w:r w:rsidRPr="000050B8">
        <w:rPr>
          <w:lang w:val="en-GB"/>
        </w:rPr>
        <w:t xml:space="preserve"> product (including new-to-market) and marketing innovations, while regional collaboration </w:t>
      </w:r>
      <w:r>
        <w:rPr>
          <w:lang w:val="en-GB"/>
        </w:rPr>
        <w:t>is associated with</w:t>
      </w:r>
      <w:r w:rsidRPr="000050B8">
        <w:rPr>
          <w:lang w:val="en-GB"/>
        </w:rPr>
        <w:t xml:space="preserve"> </w:t>
      </w:r>
      <w:r>
        <w:rPr>
          <w:lang w:val="en-GB"/>
        </w:rPr>
        <w:t>a higher</w:t>
      </w:r>
      <w:r w:rsidRPr="000050B8">
        <w:rPr>
          <w:lang w:val="en-GB"/>
        </w:rPr>
        <w:t xml:space="preserve"> likelihood of process and organisational innovations. A broader network scope </w:t>
      </w:r>
      <w:r>
        <w:rPr>
          <w:lang w:val="en-GB"/>
        </w:rPr>
        <w:t>seems</w:t>
      </w:r>
      <w:r w:rsidRPr="000050B8">
        <w:rPr>
          <w:lang w:val="en-GB"/>
        </w:rPr>
        <w:t xml:space="preserve"> required for more outward-, market-oriented, and radical innovations, while an understanding of the local context is more important for innovations within the organisation.</w:t>
      </w:r>
    </w:p>
    <w:p w14:paraId="45903698" w14:textId="77777777" w:rsidR="004B3AB5" w:rsidRPr="000050B8" w:rsidRDefault="004B3AB5" w:rsidP="00C43B94">
      <w:pPr>
        <w:spacing w:line="480" w:lineRule="auto"/>
        <w:rPr>
          <w:lang w:val="en-GB"/>
        </w:rPr>
      </w:pPr>
    </w:p>
    <w:p w14:paraId="6C91AF19" w14:textId="09866280" w:rsidR="004B3AB5" w:rsidRPr="000050B8" w:rsidRDefault="007F7E20" w:rsidP="00B336F5">
      <w:pPr>
        <w:keepNext/>
        <w:spacing w:line="480" w:lineRule="auto"/>
        <w:rPr>
          <w:b/>
          <w:lang w:val="en-GB"/>
        </w:rPr>
      </w:pPr>
      <w:r>
        <w:rPr>
          <w:b/>
          <w:lang w:val="en-GB"/>
        </w:rPr>
        <w:lastRenderedPageBreak/>
        <w:t xml:space="preserve">4.1 </w:t>
      </w:r>
      <w:r w:rsidR="004B3AB5">
        <w:rPr>
          <w:b/>
          <w:lang w:val="en-GB"/>
        </w:rPr>
        <w:t>Robustness checks</w:t>
      </w:r>
    </w:p>
    <w:p w14:paraId="313A73BD" w14:textId="011B0B36" w:rsidR="004B3AB5" w:rsidRPr="000050B8" w:rsidRDefault="004B3AB5" w:rsidP="00C43B94">
      <w:pPr>
        <w:spacing w:line="480" w:lineRule="auto"/>
        <w:rPr>
          <w:lang w:val="en-GB"/>
        </w:rPr>
      </w:pPr>
      <w:r w:rsidRPr="000050B8">
        <w:rPr>
          <w:lang w:val="en-GB"/>
        </w:rPr>
        <w:t xml:space="preserve">While the above analysis has employed the panel structure of the data to measure independent variables </w:t>
      </w:r>
      <w:r>
        <w:rPr>
          <w:lang w:val="en-GB"/>
        </w:rPr>
        <w:t>before</w:t>
      </w:r>
      <w:r w:rsidRPr="000050B8">
        <w:rPr>
          <w:lang w:val="en-GB"/>
        </w:rPr>
        <w:t xml:space="preserve"> dependent variables, this does not rule out the possibility of reverse causality. If the same firms innovate consistently over time, the level of collaboration of Norwegian firms or the places they source their information from could still </w:t>
      </w:r>
      <w:r>
        <w:rPr>
          <w:lang w:val="en-GB"/>
        </w:rPr>
        <w:t>be</w:t>
      </w:r>
      <w:r w:rsidRPr="000050B8">
        <w:rPr>
          <w:lang w:val="en-GB"/>
        </w:rPr>
        <w:t xml:space="preserve"> affected by the firm’s level of innovation at an earlier time. In order to account for this, Model 2 includes a lagged dependent variable as a predictor, taking the following form:</w:t>
      </w:r>
    </w:p>
    <w:p w14:paraId="155D31CE" w14:textId="796201CA" w:rsidR="004B3AB5" w:rsidRPr="00B00D42" w:rsidRDefault="004B3AB5" w:rsidP="00C43B94">
      <w:pPr>
        <w:tabs>
          <w:tab w:val="left" w:pos="8647"/>
        </w:tabs>
        <w:spacing w:line="480" w:lineRule="auto"/>
        <w:jc w:val="left"/>
        <w:rPr>
          <w:lang w:val="fr-FR"/>
        </w:rPr>
      </w:pPr>
      <w:proofErr w:type="spellStart"/>
      <w:r w:rsidRPr="0054457A">
        <w:rPr>
          <w:lang w:val="fr-FR"/>
        </w:rPr>
        <w:t>logit</w:t>
      </w:r>
      <w:proofErr w:type="spellEnd"/>
      <w:r w:rsidRPr="0054457A">
        <w:rPr>
          <w:lang w:val="fr-FR"/>
        </w:rPr>
        <w:t>(</w:t>
      </w:r>
      <w:proofErr w:type="spellStart"/>
      <w:r w:rsidRPr="0054457A">
        <w:rPr>
          <w:lang w:val="fr-FR"/>
        </w:rPr>
        <w:t>Innovation</w:t>
      </w:r>
      <w:r w:rsidRPr="0054457A">
        <w:rPr>
          <w:vertAlign w:val="subscript"/>
          <w:lang w:val="fr-FR"/>
        </w:rPr>
        <w:t>i,t</w:t>
      </w:r>
      <w:proofErr w:type="spellEnd"/>
      <w:r w:rsidRPr="0054457A">
        <w:rPr>
          <w:lang w:val="fr-FR"/>
        </w:rPr>
        <w:t xml:space="preserve">) = </w:t>
      </w:r>
      <w:r w:rsidRPr="000050B8">
        <w:rPr>
          <w:lang w:val="en-GB"/>
        </w:rPr>
        <w:t>α</w:t>
      </w:r>
      <w:r w:rsidRPr="0054457A">
        <w:rPr>
          <w:lang w:val="fr-FR"/>
        </w:rPr>
        <w:t xml:space="preserve"> + </w:t>
      </w:r>
      <w:r w:rsidRPr="000050B8">
        <w:rPr>
          <w:lang w:val="en-GB"/>
        </w:rPr>
        <w:t>β</w:t>
      </w:r>
      <w:r w:rsidRPr="0054457A">
        <w:rPr>
          <w:vertAlign w:val="subscript"/>
          <w:lang w:val="fr-FR"/>
        </w:rPr>
        <w:t>1</w:t>
      </w:r>
      <w:r w:rsidRPr="0054457A">
        <w:rPr>
          <w:lang w:val="fr-FR"/>
        </w:rPr>
        <w:t xml:space="preserve"> Innovation</w:t>
      </w:r>
      <w:r w:rsidRPr="0054457A">
        <w:rPr>
          <w:vertAlign w:val="subscript"/>
          <w:lang w:val="fr-FR"/>
        </w:rPr>
        <w:t>i,t-1</w:t>
      </w:r>
      <w:r w:rsidRPr="00B00D42">
        <w:rPr>
          <w:lang w:val="fr-FR"/>
        </w:rPr>
        <w:t xml:space="preserve"> + </w:t>
      </w:r>
      <w:r w:rsidRPr="000050B8">
        <w:rPr>
          <w:lang w:val="en-GB"/>
        </w:rPr>
        <w:t>β</w:t>
      </w:r>
      <w:r w:rsidRPr="0054457A">
        <w:rPr>
          <w:vertAlign w:val="subscript"/>
          <w:lang w:val="fr-FR"/>
        </w:rPr>
        <w:t>2</w:t>
      </w:r>
      <w:r w:rsidRPr="0054457A">
        <w:rPr>
          <w:lang w:val="fr-FR"/>
        </w:rPr>
        <w:t xml:space="preserve"> </w:t>
      </w:r>
      <w:r w:rsidRPr="00EB63F1">
        <w:rPr>
          <w:b/>
          <w:lang w:val="fr-FR"/>
        </w:rPr>
        <w:t>Partners</w:t>
      </w:r>
      <w:r w:rsidRPr="0054457A">
        <w:rPr>
          <w:vertAlign w:val="subscript"/>
          <w:lang w:val="fr-FR"/>
        </w:rPr>
        <w:t>i,t-1</w:t>
      </w:r>
      <w:r w:rsidRPr="00B00D42">
        <w:rPr>
          <w:lang w:val="fr-FR"/>
        </w:rPr>
        <w:t xml:space="preserve"> + </w:t>
      </w:r>
      <w:r w:rsidRPr="000050B8">
        <w:rPr>
          <w:lang w:val="en-GB"/>
        </w:rPr>
        <w:t>β</w:t>
      </w:r>
      <w:r w:rsidRPr="0054457A">
        <w:rPr>
          <w:vertAlign w:val="subscript"/>
          <w:lang w:val="fr-FR"/>
        </w:rPr>
        <w:t>3</w:t>
      </w:r>
      <w:r w:rsidRPr="0054457A">
        <w:rPr>
          <w:lang w:val="fr-FR"/>
        </w:rPr>
        <w:t xml:space="preserve"> </w:t>
      </w:r>
      <w:r w:rsidRPr="00EB63F1">
        <w:rPr>
          <w:b/>
          <w:lang w:val="fr-FR"/>
        </w:rPr>
        <w:t>Location</w:t>
      </w:r>
      <w:r w:rsidRPr="0054457A">
        <w:rPr>
          <w:vertAlign w:val="subscript"/>
          <w:lang w:val="fr-FR"/>
        </w:rPr>
        <w:t>i,t-1</w:t>
      </w:r>
      <w:r w:rsidRPr="00B00D42">
        <w:rPr>
          <w:lang w:val="fr-FR"/>
        </w:rPr>
        <w:t xml:space="preserve"> + </w:t>
      </w:r>
      <w:r w:rsidRPr="000050B8">
        <w:rPr>
          <w:lang w:val="en-GB"/>
        </w:rPr>
        <w:t>β</w:t>
      </w:r>
      <w:r w:rsidRPr="0054457A">
        <w:rPr>
          <w:vertAlign w:val="subscript"/>
          <w:lang w:val="fr-FR"/>
        </w:rPr>
        <w:t>4</w:t>
      </w:r>
      <w:r w:rsidRPr="0054457A">
        <w:rPr>
          <w:lang w:val="fr-FR"/>
        </w:rPr>
        <w:t xml:space="preserve"> </w:t>
      </w:r>
      <w:r w:rsidRPr="00EB63F1">
        <w:rPr>
          <w:b/>
          <w:lang w:val="fr-FR"/>
        </w:rPr>
        <w:t>Controls</w:t>
      </w:r>
      <w:r w:rsidRPr="0054457A">
        <w:rPr>
          <w:vertAlign w:val="subscript"/>
          <w:lang w:val="fr-FR"/>
        </w:rPr>
        <w:t>i,t-1</w:t>
      </w:r>
      <w:r w:rsidRPr="00B00D42">
        <w:rPr>
          <w:lang w:val="fr-FR"/>
        </w:rPr>
        <w:t xml:space="preserve"> + </w:t>
      </w:r>
      <w:r w:rsidRPr="000050B8">
        <w:rPr>
          <w:lang w:val="en-GB"/>
        </w:rPr>
        <w:t>β</w:t>
      </w:r>
      <w:r w:rsidRPr="0054457A">
        <w:rPr>
          <w:vertAlign w:val="subscript"/>
          <w:lang w:val="fr-FR"/>
        </w:rPr>
        <w:t>5</w:t>
      </w:r>
      <w:r w:rsidRPr="0054457A">
        <w:rPr>
          <w:lang w:val="fr-FR"/>
        </w:rPr>
        <w:t xml:space="preserve"> (t-1) + </w:t>
      </w:r>
      <w:r w:rsidRPr="000050B8">
        <w:rPr>
          <w:lang w:val="en-GB"/>
        </w:rPr>
        <w:t>ε</w:t>
      </w:r>
      <w:proofErr w:type="spellStart"/>
      <w:r w:rsidRPr="0054457A">
        <w:rPr>
          <w:vertAlign w:val="subscript"/>
          <w:lang w:val="fr-FR"/>
        </w:rPr>
        <w:t>it</w:t>
      </w:r>
      <w:proofErr w:type="spellEnd"/>
      <w:r w:rsidRPr="0054457A">
        <w:rPr>
          <w:vertAlign w:val="subscript"/>
          <w:lang w:val="fr-FR"/>
        </w:rPr>
        <w:tab/>
      </w:r>
      <w:r w:rsidRPr="0054457A">
        <w:rPr>
          <w:lang w:val="fr-FR"/>
        </w:rPr>
        <w:t>(2</w:t>
      </w:r>
      <w:r w:rsidRPr="00B00D42">
        <w:rPr>
          <w:lang w:val="fr-FR"/>
        </w:rPr>
        <w:t>)</w:t>
      </w:r>
    </w:p>
    <w:p w14:paraId="0EB1CBC9" w14:textId="42B447E6" w:rsidR="004B3AB5" w:rsidRPr="000050B8" w:rsidRDefault="004B3AB5" w:rsidP="00C43B94">
      <w:pPr>
        <w:spacing w:line="480" w:lineRule="auto"/>
        <w:rPr>
          <w:lang w:val="en-GB"/>
        </w:rPr>
      </w:pPr>
      <w:r w:rsidRPr="000050B8">
        <w:rPr>
          <w:lang w:val="en-GB"/>
        </w:rPr>
        <w:t xml:space="preserve">In this model, innovation in one of the five dimensions </w:t>
      </w:r>
      <w:r>
        <w:rPr>
          <w:lang w:val="en-GB"/>
        </w:rPr>
        <w:t xml:space="preserve">considered </w:t>
      </w:r>
      <w:r w:rsidRPr="000050B8">
        <w:rPr>
          <w:lang w:val="en-GB"/>
        </w:rPr>
        <w:t xml:space="preserve">is expected to closely follow innovation in the same dimension in the preceding period. All other independent variables are as in Model 1, including the use </w:t>
      </w:r>
      <w:r>
        <w:rPr>
          <w:lang w:val="en-GB"/>
        </w:rPr>
        <w:t xml:space="preserve">of </w:t>
      </w:r>
      <w:r w:rsidRPr="000050B8">
        <w:rPr>
          <w:lang w:val="en-GB"/>
        </w:rPr>
        <w:t>robust standard errors clustered over firms. Variance inflation factors show no signs of severe multicollinearity in the model. Table 3 shows the results of fitting Model 2 to the data.</w:t>
      </w:r>
    </w:p>
    <w:p w14:paraId="30A216AE" w14:textId="77777777" w:rsidR="004B3AB5" w:rsidRPr="000050B8" w:rsidRDefault="004B3AB5" w:rsidP="00C43B94">
      <w:pPr>
        <w:spacing w:line="480" w:lineRule="auto"/>
        <w:rPr>
          <w:lang w:val="en-GB"/>
        </w:rPr>
      </w:pPr>
    </w:p>
    <w:p w14:paraId="78B77925" w14:textId="77777777" w:rsidR="00AF2E13" w:rsidRDefault="00AF2E13">
      <w:pPr>
        <w:spacing w:after="0" w:line="240" w:lineRule="auto"/>
        <w:jc w:val="left"/>
        <w:rPr>
          <w:b/>
          <w:caps/>
          <w:lang w:val="en-GB"/>
        </w:rPr>
      </w:pPr>
      <w:r>
        <w:rPr>
          <w:b/>
          <w:caps/>
          <w:lang w:val="en-GB"/>
        </w:rPr>
        <w:br w:type="page"/>
      </w:r>
    </w:p>
    <w:p w14:paraId="328D5552" w14:textId="387B995E" w:rsidR="000F16C4" w:rsidRPr="00BE26B5" w:rsidRDefault="000F16C4" w:rsidP="000F16C4">
      <w:pPr>
        <w:spacing w:line="240" w:lineRule="auto"/>
        <w:rPr>
          <w:b/>
          <w:lang w:val="en-GB"/>
        </w:rPr>
      </w:pPr>
      <w:r w:rsidRPr="00EB63F1">
        <w:rPr>
          <w:b/>
          <w:caps/>
          <w:lang w:val="en-GB"/>
        </w:rPr>
        <w:lastRenderedPageBreak/>
        <w:t>Table</w:t>
      </w:r>
      <w:r w:rsidRPr="00BE26B5">
        <w:rPr>
          <w:b/>
          <w:szCs w:val="24"/>
          <w:lang w:val="en-GB"/>
        </w:rPr>
        <w:t xml:space="preserve"> 3: Logit regression results, Model 2</w:t>
      </w:r>
    </w:p>
    <w:tbl>
      <w:tblPr>
        <w:tblW w:w="5630" w:type="pct"/>
        <w:jc w:val="center"/>
        <w:tblCellMar>
          <w:left w:w="75" w:type="dxa"/>
          <w:right w:w="75" w:type="dxa"/>
        </w:tblCellMar>
        <w:tblLook w:val="0000" w:firstRow="0" w:lastRow="0" w:firstColumn="0" w:lastColumn="0" w:noHBand="0" w:noVBand="0"/>
      </w:tblPr>
      <w:tblGrid>
        <w:gridCol w:w="2938"/>
        <w:gridCol w:w="1444"/>
        <w:gridCol w:w="1548"/>
        <w:gridCol w:w="1444"/>
        <w:gridCol w:w="1563"/>
        <w:gridCol w:w="1440"/>
      </w:tblGrid>
      <w:tr w:rsidR="000F16C4" w14:paraId="51BA6F8A" w14:textId="77777777" w:rsidTr="000972AF">
        <w:trPr>
          <w:jc w:val="center"/>
        </w:trPr>
        <w:tc>
          <w:tcPr>
            <w:tcW w:w="1421" w:type="pct"/>
            <w:tcBorders>
              <w:top w:val="single" w:sz="6" w:space="0" w:color="auto"/>
              <w:left w:val="nil"/>
              <w:bottom w:val="nil"/>
              <w:right w:val="nil"/>
            </w:tcBorders>
          </w:tcPr>
          <w:p w14:paraId="730F0A8B" w14:textId="77777777" w:rsidR="000F16C4" w:rsidRPr="00BE26B5" w:rsidRDefault="000F16C4" w:rsidP="000972AF">
            <w:pPr>
              <w:widowControl w:val="0"/>
              <w:autoSpaceDE w:val="0"/>
              <w:autoSpaceDN w:val="0"/>
              <w:adjustRightInd w:val="0"/>
              <w:spacing w:after="0" w:line="240" w:lineRule="auto"/>
              <w:rPr>
                <w:szCs w:val="24"/>
                <w:lang w:val="en-GB"/>
              </w:rPr>
            </w:pPr>
          </w:p>
        </w:tc>
        <w:tc>
          <w:tcPr>
            <w:tcW w:w="701" w:type="pct"/>
            <w:tcBorders>
              <w:top w:val="single" w:sz="6" w:space="0" w:color="auto"/>
              <w:left w:val="nil"/>
              <w:bottom w:val="nil"/>
              <w:right w:val="nil"/>
            </w:tcBorders>
          </w:tcPr>
          <w:p w14:paraId="23147BF2" w14:textId="77777777" w:rsidR="000F16C4" w:rsidRDefault="000F16C4" w:rsidP="000972AF">
            <w:pPr>
              <w:widowControl w:val="0"/>
              <w:autoSpaceDE w:val="0"/>
              <w:autoSpaceDN w:val="0"/>
              <w:adjustRightInd w:val="0"/>
              <w:spacing w:after="0" w:line="240" w:lineRule="auto"/>
              <w:jc w:val="center"/>
              <w:rPr>
                <w:szCs w:val="24"/>
              </w:rPr>
            </w:pPr>
            <w:r>
              <w:rPr>
                <w:szCs w:val="24"/>
              </w:rPr>
              <w:t>(1)</w:t>
            </w:r>
          </w:p>
        </w:tc>
        <w:tc>
          <w:tcPr>
            <w:tcW w:w="751" w:type="pct"/>
            <w:tcBorders>
              <w:top w:val="single" w:sz="6" w:space="0" w:color="auto"/>
              <w:left w:val="nil"/>
              <w:bottom w:val="nil"/>
              <w:right w:val="nil"/>
            </w:tcBorders>
          </w:tcPr>
          <w:p w14:paraId="63E3B9B8" w14:textId="77777777" w:rsidR="000F16C4" w:rsidRDefault="000F16C4" w:rsidP="000972AF">
            <w:pPr>
              <w:widowControl w:val="0"/>
              <w:autoSpaceDE w:val="0"/>
              <w:autoSpaceDN w:val="0"/>
              <w:adjustRightInd w:val="0"/>
              <w:spacing w:after="0" w:line="240" w:lineRule="auto"/>
              <w:jc w:val="center"/>
              <w:rPr>
                <w:szCs w:val="24"/>
              </w:rPr>
            </w:pPr>
            <w:r>
              <w:rPr>
                <w:szCs w:val="24"/>
              </w:rPr>
              <w:t>(2)</w:t>
            </w:r>
          </w:p>
        </w:tc>
        <w:tc>
          <w:tcPr>
            <w:tcW w:w="701" w:type="pct"/>
            <w:tcBorders>
              <w:top w:val="single" w:sz="6" w:space="0" w:color="auto"/>
              <w:left w:val="nil"/>
              <w:bottom w:val="nil"/>
              <w:right w:val="nil"/>
            </w:tcBorders>
          </w:tcPr>
          <w:p w14:paraId="3258BAA3" w14:textId="77777777" w:rsidR="000F16C4" w:rsidRDefault="000F16C4" w:rsidP="000972AF">
            <w:pPr>
              <w:widowControl w:val="0"/>
              <w:autoSpaceDE w:val="0"/>
              <w:autoSpaceDN w:val="0"/>
              <w:adjustRightInd w:val="0"/>
              <w:spacing w:after="0" w:line="240" w:lineRule="auto"/>
              <w:jc w:val="center"/>
              <w:rPr>
                <w:szCs w:val="24"/>
              </w:rPr>
            </w:pPr>
            <w:r>
              <w:rPr>
                <w:szCs w:val="24"/>
              </w:rPr>
              <w:t>(3)</w:t>
            </w:r>
          </w:p>
        </w:tc>
        <w:tc>
          <w:tcPr>
            <w:tcW w:w="726" w:type="pct"/>
            <w:tcBorders>
              <w:top w:val="single" w:sz="6" w:space="0" w:color="auto"/>
              <w:left w:val="nil"/>
              <w:bottom w:val="nil"/>
              <w:right w:val="nil"/>
            </w:tcBorders>
          </w:tcPr>
          <w:p w14:paraId="10FCBD2F" w14:textId="77777777" w:rsidR="000F16C4" w:rsidRDefault="000F16C4" w:rsidP="000972AF">
            <w:pPr>
              <w:widowControl w:val="0"/>
              <w:autoSpaceDE w:val="0"/>
              <w:autoSpaceDN w:val="0"/>
              <w:adjustRightInd w:val="0"/>
              <w:spacing w:after="0" w:line="240" w:lineRule="auto"/>
              <w:jc w:val="center"/>
              <w:rPr>
                <w:szCs w:val="24"/>
              </w:rPr>
            </w:pPr>
            <w:r>
              <w:rPr>
                <w:szCs w:val="24"/>
              </w:rPr>
              <w:t>(4)</w:t>
            </w:r>
          </w:p>
        </w:tc>
        <w:tc>
          <w:tcPr>
            <w:tcW w:w="699" w:type="pct"/>
            <w:tcBorders>
              <w:top w:val="single" w:sz="6" w:space="0" w:color="auto"/>
              <w:left w:val="nil"/>
              <w:bottom w:val="nil"/>
              <w:right w:val="nil"/>
            </w:tcBorders>
          </w:tcPr>
          <w:p w14:paraId="4AF26FDE" w14:textId="77777777" w:rsidR="000F16C4" w:rsidRDefault="000F16C4" w:rsidP="000972AF">
            <w:pPr>
              <w:widowControl w:val="0"/>
              <w:autoSpaceDE w:val="0"/>
              <w:autoSpaceDN w:val="0"/>
              <w:adjustRightInd w:val="0"/>
              <w:spacing w:after="0" w:line="240" w:lineRule="auto"/>
              <w:jc w:val="center"/>
              <w:rPr>
                <w:szCs w:val="24"/>
              </w:rPr>
            </w:pPr>
            <w:r>
              <w:rPr>
                <w:szCs w:val="24"/>
              </w:rPr>
              <w:t>(5)</w:t>
            </w:r>
          </w:p>
        </w:tc>
      </w:tr>
      <w:tr w:rsidR="000F16C4" w14:paraId="41CA5707" w14:textId="77777777" w:rsidTr="000972AF">
        <w:trPr>
          <w:jc w:val="center"/>
        </w:trPr>
        <w:tc>
          <w:tcPr>
            <w:tcW w:w="1421" w:type="pct"/>
            <w:tcBorders>
              <w:top w:val="nil"/>
              <w:left w:val="nil"/>
              <w:bottom w:val="single" w:sz="6" w:space="0" w:color="auto"/>
              <w:right w:val="nil"/>
            </w:tcBorders>
          </w:tcPr>
          <w:p w14:paraId="7855DD71" w14:textId="77777777" w:rsidR="000F16C4" w:rsidRDefault="000F16C4" w:rsidP="000972AF">
            <w:pPr>
              <w:widowControl w:val="0"/>
              <w:autoSpaceDE w:val="0"/>
              <w:autoSpaceDN w:val="0"/>
              <w:adjustRightInd w:val="0"/>
              <w:spacing w:after="0" w:line="240" w:lineRule="auto"/>
              <w:rPr>
                <w:szCs w:val="24"/>
              </w:rPr>
            </w:pPr>
            <w:r>
              <w:rPr>
                <w:szCs w:val="24"/>
              </w:rPr>
              <w:t>VARIABLES</w:t>
            </w:r>
          </w:p>
        </w:tc>
        <w:tc>
          <w:tcPr>
            <w:tcW w:w="701" w:type="pct"/>
            <w:tcBorders>
              <w:top w:val="nil"/>
              <w:left w:val="nil"/>
              <w:bottom w:val="single" w:sz="6" w:space="0" w:color="auto"/>
              <w:right w:val="nil"/>
            </w:tcBorders>
          </w:tcPr>
          <w:p w14:paraId="111D2FDD" w14:textId="77777777" w:rsidR="000F16C4" w:rsidRDefault="000F16C4" w:rsidP="000972AF">
            <w:pPr>
              <w:widowControl w:val="0"/>
              <w:autoSpaceDE w:val="0"/>
              <w:autoSpaceDN w:val="0"/>
              <w:adjustRightInd w:val="0"/>
              <w:spacing w:after="0" w:line="240" w:lineRule="auto"/>
              <w:jc w:val="center"/>
              <w:rPr>
                <w:szCs w:val="24"/>
              </w:rPr>
            </w:pPr>
            <w:r>
              <w:rPr>
                <w:szCs w:val="24"/>
              </w:rPr>
              <w:t>Product innovation</w:t>
            </w:r>
          </w:p>
        </w:tc>
        <w:tc>
          <w:tcPr>
            <w:tcW w:w="751" w:type="pct"/>
            <w:tcBorders>
              <w:top w:val="nil"/>
              <w:left w:val="nil"/>
              <w:bottom w:val="single" w:sz="6" w:space="0" w:color="auto"/>
              <w:right w:val="nil"/>
            </w:tcBorders>
          </w:tcPr>
          <w:p w14:paraId="27C1F5D9" w14:textId="77777777" w:rsidR="000F16C4" w:rsidRDefault="000F16C4" w:rsidP="000972AF">
            <w:pPr>
              <w:widowControl w:val="0"/>
              <w:autoSpaceDE w:val="0"/>
              <w:autoSpaceDN w:val="0"/>
              <w:adjustRightInd w:val="0"/>
              <w:spacing w:after="0" w:line="240" w:lineRule="auto"/>
              <w:jc w:val="center"/>
              <w:rPr>
                <w:szCs w:val="24"/>
              </w:rPr>
            </w:pPr>
            <w:r>
              <w:rPr>
                <w:szCs w:val="24"/>
              </w:rPr>
              <w:t>New-to-market innovation</w:t>
            </w:r>
          </w:p>
        </w:tc>
        <w:tc>
          <w:tcPr>
            <w:tcW w:w="701" w:type="pct"/>
            <w:tcBorders>
              <w:top w:val="nil"/>
              <w:left w:val="nil"/>
              <w:bottom w:val="single" w:sz="6" w:space="0" w:color="auto"/>
              <w:right w:val="nil"/>
            </w:tcBorders>
          </w:tcPr>
          <w:p w14:paraId="57014106" w14:textId="77777777" w:rsidR="000F16C4" w:rsidRDefault="000F16C4" w:rsidP="000972AF">
            <w:pPr>
              <w:widowControl w:val="0"/>
              <w:autoSpaceDE w:val="0"/>
              <w:autoSpaceDN w:val="0"/>
              <w:adjustRightInd w:val="0"/>
              <w:spacing w:after="0" w:line="240" w:lineRule="auto"/>
              <w:jc w:val="center"/>
              <w:rPr>
                <w:szCs w:val="24"/>
              </w:rPr>
            </w:pPr>
            <w:r>
              <w:rPr>
                <w:szCs w:val="24"/>
              </w:rPr>
              <w:t>Process innovation</w:t>
            </w:r>
          </w:p>
        </w:tc>
        <w:tc>
          <w:tcPr>
            <w:tcW w:w="726" w:type="pct"/>
            <w:tcBorders>
              <w:top w:val="nil"/>
              <w:left w:val="nil"/>
              <w:bottom w:val="single" w:sz="6" w:space="0" w:color="auto"/>
              <w:right w:val="nil"/>
            </w:tcBorders>
          </w:tcPr>
          <w:p w14:paraId="6628700C" w14:textId="77777777" w:rsidR="000F16C4" w:rsidRDefault="000F16C4" w:rsidP="000972AF">
            <w:pPr>
              <w:widowControl w:val="0"/>
              <w:autoSpaceDE w:val="0"/>
              <w:autoSpaceDN w:val="0"/>
              <w:adjustRightInd w:val="0"/>
              <w:spacing w:after="0" w:line="240" w:lineRule="auto"/>
              <w:jc w:val="center"/>
              <w:rPr>
                <w:szCs w:val="24"/>
              </w:rPr>
            </w:pPr>
            <w:r>
              <w:rPr>
                <w:szCs w:val="24"/>
              </w:rPr>
              <w:t>Organisational innovation</w:t>
            </w:r>
          </w:p>
        </w:tc>
        <w:tc>
          <w:tcPr>
            <w:tcW w:w="699" w:type="pct"/>
            <w:tcBorders>
              <w:top w:val="nil"/>
              <w:left w:val="nil"/>
              <w:bottom w:val="single" w:sz="6" w:space="0" w:color="auto"/>
              <w:right w:val="nil"/>
            </w:tcBorders>
          </w:tcPr>
          <w:p w14:paraId="385F79A4" w14:textId="77777777" w:rsidR="000F16C4" w:rsidRDefault="000F16C4" w:rsidP="000972AF">
            <w:pPr>
              <w:widowControl w:val="0"/>
              <w:autoSpaceDE w:val="0"/>
              <w:autoSpaceDN w:val="0"/>
              <w:adjustRightInd w:val="0"/>
              <w:spacing w:after="0" w:line="240" w:lineRule="auto"/>
              <w:jc w:val="center"/>
              <w:rPr>
                <w:szCs w:val="24"/>
              </w:rPr>
            </w:pPr>
            <w:r>
              <w:rPr>
                <w:szCs w:val="24"/>
              </w:rPr>
              <w:t>Marketing innovation</w:t>
            </w:r>
          </w:p>
        </w:tc>
      </w:tr>
      <w:tr w:rsidR="000F16C4" w14:paraId="7B1A98F1" w14:textId="77777777" w:rsidTr="000972AF">
        <w:trPr>
          <w:jc w:val="center"/>
        </w:trPr>
        <w:tc>
          <w:tcPr>
            <w:tcW w:w="1421" w:type="pct"/>
            <w:tcBorders>
              <w:top w:val="nil"/>
              <w:left w:val="nil"/>
              <w:bottom w:val="nil"/>
              <w:right w:val="nil"/>
            </w:tcBorders>
          </w:tcPr>
          <w:p w14:paraId="0A798834" w14:textId="77777777" w:rsidR="000F16C4" w:rsidRDefault="000F16C4" w:rsidP="000972AF">
            <w:pPr>
              <w:widowControl w:val="0"/>
              <w:autoSpaceDE w:val="0"/>
              <w:autoSpaceDN w:val="0"/>
              <w:adjustRightInd w:val="0"/>
              <w:spacing w:after="0" w:line="240" w:lineRule="auto"/>
              <w:rPr>
                <w:szCs w:val="24"/>
              </w:rPr>
            </w:pPr>
          </w:p>
        </w:tc>
        <w:tc>
          <w:tcPr>
            <w:tcW w:w="701" w:type="pct"/>
            <w:tcBorders>
              <w:top w:val="nil"/>
              <w:left w:val="nil"/>
              <w:bottom w:val="nil"/>
              <w:right w:val="nil"/>
            </w:tcBorders>
          </w:tcPr>
          <w:p w14:paraId="736AF280" w14:textId="77777777" w:rsidR="000F16C4" w:rsidRDefault="000F16C4" w:rsidP="000972AF">
            <w:pPr>
              <w:widowControl w:val="0"/>
              <w:autoSpaceDE w:val="0"/>
              <w:autoSpaceDN w:val="0"/>
              <w:adjustRightInd w:val="0"/>
              <w:spacing w:after="0" w:line="240" w:lineRule="auto"/>
              <w:jc w:val="center"/>
              <w:rPr>
                <w:szCs w:val="24"/>
              </w:rPr>
            </w:pPr>
          </w:p>
        </w:tc>
        <w:tc>
          <w:tcPr>
            <w:tcW w:w="751" w:type="pct"/>
            <w:tcBorders>
              <w:top w:val="nil"/>
              <w:left w:val="nil"/>
              <w:bottom w:val="nil"/>
              <w:right w:val="nil"/>
            </w:tcBorders>
          </w:tcPr>
          <w:p w14:paraId="68E620DE" w14:textId="77777777" w:rsidR="000F16C4" w:rsidRDefault="000F16C4" w:rsidP="000972AF">
            <w:pPr>
              <w:widowControl w:val="0"/>
              <w:autoSpaceDE w:val="0"/>
              <w:autoSpaceDN w:val="0"/>
              <w:adjustRightInd w:val="0"/>
              <w:spacing w:after="0" w:line="240" w:lineRule="auto"/>
              <w:jc w:val="center"/>
              <w:rPr>
                <w:szCs w:val="24"/>
              </w:rPr>
            </w:pPr>
          </w:p>
        </w:tc>
        <w:tc>
          <w:tcPr>
            <w:tcW w:w="701" w:type="pct"/>
            <w:tcBorders>
              <w:top w:val="nil"/>
              <w:left w:val="nil"/>
              <w:bottom w:val="nil"/>
              <w:right w:val="nil"/>
            </w:tcBorders>
          </w:tcPr>
          <w:p w14:paraId="5F87D4F7" w14:textId="77777777" w:rsidR="000F16C4" w:rsidRDefault="000F16C4" w:rsidP="000972AF">
            <w:pPr>
              <w:widowControl w:val="0"/>
              <w:autoSpaceDE w:val="0"/>
              <w:autoSpaceDN w:val="0"/>
              <w:adjustRightInd w:val="0"/>
              <w:spacing w:after="0" w:line="240" w:lineRule="auto"/>
              <w:jc w:val="center"/>
              <w:rPr>
                <w:szCs w:val="24"/>
              </w:rPr>
            </w:pPr>
          </w:p>
        </w:tc>
        <w:tc>
          <w:tcPr>
            <w:tcW w:w="726" w:type="pct"/>
            <w:tcBorders>
              <w:top w:val="nil"/>
              <w:left w:val="nil"/>
              <w:bottom w:val="nil"/>
              <w:right w:val="nil"/>
            </w:tcBorders>
          </w:tcPr>
          <w:p w14:paraId="7901EC48" w14:textId="77777777" w:rsidR="000F16C4" w:rsidRDefault="000F16C4" w:rsidP="000972AF">
            <w:pPr>
              <w:widowControl w:val="0"/>
              <w:autoSpaceDE w:val="0"/>
              <w:autoSpaceDN w:val="0"/>
              <w:adjustRightInd w:val="0"/>
              <w:spacing w:after="0" w:line="240" w:lineRule="auto"/>
              <w:jc w:val="center"/>
              <w:rPr>
                <w:szCs w:val="24"/>
              </w:rPr>
            </w:pPr>
          </w:p>
        </w:tc>
        <w:tc>
          <w:tcPr>
            <w:tcW w:w="699" w:type="pct"/>
            <w:tcBorders>
              <w:top w:val="nil"/>
              <w:left w:val="nil"/>
              <w:bottom w:val="nil"/>
              <w:right w:val="nil"/>
            </w:tcBorders>
          </w:tcPr>
          <w:p w14:paraId="59D27D37" w14:textId="77777777" w:rsidR="000F16C4" w:rsidRDefault="000F16C4" w:rsidP="000972AF">
            <w:pPr>
              <w:widowControl w:val="0"/>
              <w:autoSpaceDE w:val="0"/>
              <w:autoSpaceDN w:val="0"/>
              <w:adjustRightInd w:val="0"/>
              <w:spacing w:after="0" w:line="240" w:lineRule="auto"/>
              <w:jc w:val="center"/>
              <w:rPr>
                <w:szCs w:val="24"/>
              </w:rPr>
            </w:pPr>
          </w:p>
        </w:tc>
      </w:tr>
      <w:tr w:rsidR="000F16C4" w14:paraId="1C2DAE48" w14:textId="77777777" w:rsidTr="000972AF">
        <w:trPr>
          <w:jc w:val="center"/>
        </w:trPr>
        <w:tc>
          <w:tcPr>
            <w:tcW w:w="1421" w:type="pct"/>
            <w:tcBorders>
              <w:top w:val="nil"/>
              <w:left w:val="nil"/>
              <w:bottom w:val="nil"/>
              <w:right w:val="nil"/>
            </w:tcBorders>
          </w:tcPr>
          <w:p w14:paraId="466A6051" w14:textId="77777777" w:rsidR="000F16C4" w:rsidRDefault="000F16C4" w:rsidP="000972AF">
            <w:pPr>
              <w:widowControl w:val="0"/>
              <w:autoSpaceDE w:val="0"/>
              <w:autoSpaceDN w:val="0"/>
              <w:adjustRightInd w:val="0"/>
              <w:spacing w:after="0" w:line="240" w:lineRule="auto"/>
              <w:rPr>
                <w:szCs w:val="24"/>
              </w:rPr>
            </w:pPr>
            <w:r>
              <w:rPr>
                <w:szCs w:val="24"/>
              </w:rPr>
              <w:t>Innovation t-1</w:t>
            </w:r>
          </w:p>
        </w:tc>
        <w:tc>
          <w:tcPr>
            <w:tcW w:w="701" w:type="pct"/>
            <w:tcBorders>
              <w:top w:val="nil"/>
              <w:left w:val="nil"/>
              <w:bottom w:val="nil"/>
              <w:right w:val="nil"/>
            </w:tcBorders>
          </w:tcPr>
          <w:p w14:paraId="79FDEC8C" w14:textId="77777777" w:rsidR="000F16C4" w:rsidRDefault="000F16C4" w:rsidP="000972AF">
            <w:pPr>
              <w:widowControl w:val="0"/>
              <w:autoSpaceDE w:val="0"/>
              <w:autoSpaceDN w:val="0"/>
              <w:adjustRightInd w:val="0"/>
              <w:spacing w:after="0" w:line="240" w:lineRule="auto"/>
              <w:jc w:val="center"/>
              <w:rPr>
                <w:szCs w:val="24"/>
              </w:rPr>
            </w:pPr>
            <w:r>
              <w:rPr>
                <w:szCs w:val="24"/>
              </w:rPr>
              <w:t>3.81***</w:t>
            </w:r>
          </w:p>
        </w:tc>
        <w:tc>
          <w:tcPr>
            <w:tcW w:w="751" w:type="pct"/>
            <w:tcBorders>
              <w:top w:val="nil"/>
              <w:left w:val="nil"/>
              <w:bottom w:val="nil"/>
              <w:right w:val="nil"/>
            </w:tcBorders>
          </w:tcPr>
          <w:p w14:paraId="1D68B0FF" w14:textId="77777777" w:rsidR="000F16C4" w:rsidRDefault="000F16C4" w:rsidP="000972AF">
            <w:pPr>
              <w:widowControl w:val="0"/>
              <w:autoSpaceDE w:val="0"/>
              <w:autoSpaceDN w:val="0"/>
              <w:adjustRightInd w:val="0"/>
              <w:spacing w:after="0" w:line="240" w:lineRule="auto"/>
              <w:jc w:val="center"/>
              <w:rPr>
                <w:szCs w:val="24"/>
              </w:rPr>
            </w:pPr>
            <w:r>
              <w:rPr>
                <w:szCs w:val="24"/>
              </w:rPr>
              <w:t>3.09***</w:t>
            </w:r>
          </w:p>
        </w:tc>
        <w:tc>
          <w:tcPr>
            <w:tcW w:w="701" w:type="pct"/>
            <w:tcBorders>
              <w:top w:val="nil"/>
              <w:left w:val="nil"/>
              <w:bottom w:val="nil"/>
              <w:right w:val="nil"/>
            </w:tcBorders>
          </w:tcPr>
          <w:p w14:paraId="545ADD1C" w14:textId="77777777" w:rsidR="000F16C4" w:rsidRDefault="000F16C4" w:rsidP="000972AF">
            <w:pPr>
              <w:widowControl w:val="0"/>
              <w:autoSpaceDE w:val="0"/>
              <w:autoSpaceDN w:val="0"/>
              <w:adjustRightInd w:val="0"/>
              <w:spacing w:after="0" w:line="240" w:lineRule="auto"/>
              <w:jc w:val="center"/>
              <w:rPr>
                <w:szCs w:val="24"/>
              </w:rPr>
            </w:pPr>
            <w:r>
              <w:rPr>
                <w:szCs w:val="24"/>
              </w:rPr>
              <w:t>2.56***</w:t>
            </w:r>
          </w:p>
        </w:tc>
        <w:tc>
          <w:tcPr>
            <w:tcW w:w="726" w:type="pct"/>
            <w:tcBorders>
              <w:top w:val="nil"/>
              <w:left w:val="nil"/>
              <w:bottom w:val="nil"/>
              <w:right w:val="nil"/>
            </w:tcBorders>
          </w:tcPr>
          <w:p w14:paraId="3CE15709" w14:textId="77777777" w:rsidR="000F16C4" w:rsidRDefault="000F16C4" w:rsidP="000972AF">
            <w:pPr>
              <w:widowControl w:val="0"/>
              <w:autoSpaceDE w:val="0"/>
              <w:autoSpaceDN w:val="0"/>
              <w:adjustRightInd w:val="0"/>
              <w:spacing w:after="0" w:line="240" w:lineRule="auto"/>
              <w:jc w:val="center"/>
              <w:rPr>
                <w:szCs w:val="24"/>
              </w:rPr>
            </w:pPr>
            <w:r>
              <w:rPr>
                <w:szCs w:val="24"/>
              </w:rPr>
              <w:t>2.02***</w:t>
            </w:r>
          </w:p>
        </w:tc>
        <w:tc>
          <w:tcPr>
            <w:tcW w:w="699" w:type="pct"/>
            <w:tcBorders>
              <w:top w:val="nil"/>
              <w:left w:val="nil"/>
              <w:bottom w:val="nil"/>
              <w:right w:val="nil"/>
            </w:tcBorders>
          </w:tcPr>
          <w:p w14:paraId="2BD4C245" w14:textId="77777777" w:rsidR="000F16C4" w:rsidRDefault="000F16C4" w:rsidP="000972AF">
            <w:pPr>
              <w:widowControl w:val="0"/>
              <w:autoSpaceDE w:val="0"/>
              <w:autoSpaceDN w:val="0"/>
              <w:adjustRightInd w:val="0"/>
              <w:spacing w:after="0" w:line="240" w:lineRule="auto"/>
              <w:jc w:val="center"/>
              <w:rPr>
                <w:szCs w:val="24"/>
              </w:rPr>
            </w:pPr>
            <w:r>
              <w:rPr>
                <w:szCs w:val="24"/>
              </w:rPr>
              <w:t>3.19***</w:t>
            </w:r>
          </w:p>
        </w:tc>
      </w:tr>
      <w:tr w:rsidR="000F16C4" w14:paraId="0F2E2FFB" w14:textId="77777777" w:rsidTr="000972AF">
        <w:trPr>
          <w:jc w:val="center"/>
        </w:trPr>
        <w:tc>
          <w:tcPr>
            <w:tcW w:w="1421" w:type="pct"/>
            <w:tcBorders>
              <w:top w:val="nil"/>
              <w:left w:val="nil"/>
              <w:bottom w:val="nil"/>
              <w:right w:val="nil"/>
            </w:tcBorders>
          </w:tcPr>
          <w:p w14:paraId="1F83B223" w14:textId="77777777" w:rsidR="000F16C4" w:rsidRDefault="000F16C4" w:rsidP="000972AF">
            <w:pPr>
              <w:widowControl w:val="0"/>
              <w:autoSpaceDE w:val="0"/>
              <w:autoSpaceDN w:val="0"/>
              <w:adjustRightInd w:val="0"/>
              <w:spacing w:after="0" w:line="240" w:lineRule="auto"/>
              <w:rPr>
                <w:szCs w:val="24"/>
              </w:rPr>
            </w:pPr>
          </w:p>
        </w:tc>
        <w:tc>
          <w:tcPr>
            <w:tcW w:w="701" w:type="pct"/>
            <w:tcBorders>
              <w:top w:val="nil"/>
              <w:left w:val="nil"/>
              <w:bottom w:val="nil"/>
              <w:right w:val="nil"/>
            </w:tcBorders>
          </w:tcPr>
          <w:p w14:paraId="1A55A21D" w14:textId="77777777" w:rsidR="000F16C4" w:rsidRDefault="000F16C4" w:rsidP="000972AF">
            <w:pPr>
              <w:widowControl w:val="0"/>
              <w:autoSpaceDE w:val="0"/>
              <w:autoSpaceDN w:val="0"/>
              <w:adjustRightInd w:val="0"/>
              <w:spacing w:after="0" w:line="240" w:lineRule="auto"/>
              <w:jc w:val="center"/>
              <w:rPr>
                <w:szCs w:val="24"/>
              </w:rPr>
            </w:pPr>
            <w:r>
              <w:rPr>
                <w:szCs w:val="24"/>
              </w:rPr>
              <w:t>(0.30)</w:t>
            </w:r>
          </w:p>
        </w:tc>
        <w:tc>
          <w:tcPr>
            <w:tcW w:w="751" w:type="pct"/>
            <w:tcBorders>
              <w:top w:val="nil"/>
              <w:left w:val="nil"/>
              <w:bottom w:val="nil"/>
              <w:right w:val="nil"/>
            </w:tcBorders>
          </w:tcPr>
          <w:p w14:paraId="6238EB41" w14:textId="77777777" w:rsidR="000F16C4" w:rsidRDefault="000F16C4" w:rsidP="000972AF">
            <w:pPr>
              <w:widowControl w:val="0"/>
              <w:autoSpaceDE w:val="0"/>
              <w:autoSpaceDN w:val="0"/>
              <w:adjustRightInd w:val="0"/>
              <w:spacing w:after="0" w:line="240" w:lineRule="auto"/>
              <w:jc w:val="center"/>
              <w:rPr>
                <w:szCs w:val="24"/>
              </w:rPr>
            </w:pPr>
            <w:r>
              <w:rPr>
                <w:szCs w:val="24"/>
              </w:rPr>
              <w:t>(0.28)</w:t>
            </w:r>
          </w:p>
        </w:tc>
        <w:tc>
          <w:tcPr>
            <w:tcW w:w="701" w:type="pct"/>
            <w:tcBorders>
              <w:top w:val="nil"/>
              <w:left w:val="nil"/>
              <w:bottom w:val="nil"/>
              <w:right w:val="nil"/>
            </w:tcBorders>
          </w:tcPr>
          <w:p w14:paraId="3CA609B6" w14:textId="77777777" w:rsidR="000F16C4" w:rsidRDefault="000F16C4" w:rsidP="000972AF">
            <w:pPr>
              <w:widowControl w:val="0"/>
              <w:autoSpaceDE w:val="0"/>
              <w:autoSpaceDN w:val="0"/>
              <w:adjustRightInd w:val="0"/>
              <w:spacing w:after="0" w:line="240" w:lineRule="auto"/>
              <w:jc w:val="center"/>
              <w:rPr>
                <w:szCs w:val="24"/>
              </w:rPr>
            </w:pPr>
            <w:r>
              <w:rPr>
                <w:szCs w:val="24"/>
              </w:rPr>
              <w:t>(0.19)</w:t>
            </w:r>
          </w:p>
        </w:tc>
        <w:tc>
          <w:tcPr>
            <w:tcW w:w="726" w:type="pct"/>
            <w:tcBorders>
              <w:top w:val="nil"/>
              <w:left w:val="nil"/>
              <w:bottom w:val="nil"/>
              <w:right w:val="nil"/>
            </w:tcBorders>
          </w:tcPr>
          <w:p w14:paraId="48CF5093" w14:textId="77777777" w:rsidR="000F16C4" w:rsidRDefault="000F16C4" w:rsidP="000972AF">
            <w:pPr>
              <w:widowControl w:val="0"/>
              <w:autoSpaceDE w:val="0"/>
              <w:autoSpaceDN w:val="0"/>
              <w:adjustRightInd w:val="0"/>
              <w:spacing w:after="0" w:line="240" w:lineRule="auto"/>
              <w:jc w:val="center"/>
              <w:rPr>
                <w:szCs w:val="24"/>
              </w:rPr>
            </w:pPr>
            <w:r>
              <w:rPr>
                <w:szCs w:val="24"/>
              </w:rPr>
              <w:t>(0.15)</w:t>
            </w:r>
          </w:p>
        </w:tc>
        <w:tc>
          <w:tcPr>
            <w:tcW w:w="699" w:type="pct"/>
            <w:tcBorders>
              <w:top w:val="nil"/>
              <w:left w:val="nil"/>
              <w:bottom w:val="nil"/>
              <w:right w:val="nil"/>
            </w:tcBorders>
          </w:tcPr>
          <w:p w14:paraId="5452FFDA" w14:textId="77777777" w:rsidR="000F16C4" w:rsidRDefault="000F16C4" w:rsidP="000972AF">
            <w:pPr>
              <w:widowControl w:val="0"/>
              <w:autoSpaceDE w:val="0"/>
              <w:autoSpaceDN w:val="0"/>
              <w:adjustRightInd w:val="0"/>
              <w:spacing w:after="0" w:line="240" w:lineRule="auto"/>
              <w:jc w:val="center"/>
              <w:rPr>
                <w:szCs w:val="24"/>
              </w:rPr>
            </w:pPr>
            <w:r>
              <w:rPr>
                <w:szCs w:val="24"/>
              </w:rPr>
              <w:t>(0.24)</w:t>
            </w:r>
          </w:p>
        </w:tc>
      </w:tr>
      <w:tr w:rsidR="000F16C4" w14:paraId="443F8225" w14:textId="77777777" w:rsidTr="000972AF">
        <w:trPr>
          <w:jc w:val="center"/>
        </w:trPr>
        <w:tc>
          <w:tcPr>
            <w:tcW w:w="1421" w:type="pct"/>
            <w:tcBorders>
              <w:top w:val="nil"/>
              <w:left w:val="nil"/>
              <w:bottom w:val="nil"/>
              <w:right w:val="nil"/>
            </w:tcBorders>
          </w:tcPr>
          <w:p w14:paraId="79F3653B" w14:textId="77777777" w:rsidR="000F16C4" w:rsidRDefault="000F16C4" w:rsidP="000972AF">
            <w:pPr>
              <w:widowControl w:val="0"/>
              <w:autoSpaceDE w:val="0"/>
              <w:autoSpaceDN w:val="0"/>
              <w:adjustRightInd w:val="0"/>
              <w:spacing w:after="0" w:line="240" w:lineRule="auto"/>
              <w:rPr>
                <w:szCs w:val="24"/>
              </w:rPr>
            </w:pPr>
            <w:r>
              <w:rPr>
                <w:szCs w:val="24"/>
              </w:rPr>
              <w:t>Regional partners</w:t>
            </w:r>
          </w:p>
        </w:tc>
        <w:tc>
          <w:tcPr>
            <w:tcW w:w="701" w:type="pct"/>
            <w:tcBorders>
              <w:top w:val="nil"/>
              <w:left w:val="nil"/>
              <w:bottom w:val="nil"/>
              <w:right w:val="nil"/>
            </w:tcBorders>
          </w:tcPr>
          <w:p w14:paraId="097F795B" w14:textId="77777777" w:rsidR="000F16C4" w:rsidRDefault="000F16C4" w:rsidP="000972AF">
            <w:pPr>
              <w:widowControl w:val="0"/>
              <w:autoSpaceDE w:val="0"/>
              <w:autoSpaceDN w:val="0"/>
              <w:adjustRightInd w:val="0"/>
              <w:spacing w:after="0" w:line="240" w:lineRule="auto"/>
              <w:jc w:val="center"/>
              <w:rPr>
                <w:szCs w:val="24"/>
              </w:rPr>
            </w:pPr>
            <w:r>
              <w:rPr>
                <w:szCs w:val="24"/>
              </w:rPr>
              <w:t>0.95+</w:t>
            </w:r>
          </w:p>
        </w:tc>
        <w:tc>
          <w:tcPr>
            <w:tcW w:w="751" w:type="pct"/>
            <w:tcBorders>
              <w:top w:val="nil"/>
              <w:left w:val="nil"/>
              <w:bottom w:val="nil"/>
              <w:right w:val="nil"/>
            </w:tcBorders>
          </w:tcPr>
          <w:p w14:paraId="7A5F4157" w14:textId="77777777" w:rsidR="000F16C4" w:rsidRDefault="000F16C4" w:rsidP="000972AF">
            <w:pPr>
              <w:widowControl w:val="0"/>
              <w:autoSpaceDE w:val="0"/>
              <w:autoSpaceDN w:val="0"/>
              <w:adjustRightInd w:val="0"/>
              <w:spacing w:after="0" w:line="240" w:lineRule="auto"/>
              <w:jc w:val="center"/>
              <w:rPr>
                <w:szCs w:val="24"/>
              </w:rPr>
            </w:pPr>
            <w:r>
              <w:rPr>
                <w:szCs w:val="24"/>
              </w:rPr>
              <w:t>0.96</w:t>
            </w:r>
          </w:p>
        </w:tc>
        <w:tc>
          <w:tcPr>
            <w:tcW w:w="701" w:type="pct"/>
            <w:tcBorders>
              <w:top w:val="nil"/>
              <w:left w:val="nil"/>
              <w:bottom w:val="nil"/>
              <w:right w:val="nil"/>
            </w:tcBorders>
          </w:tcPr>
          <w:p w14:paraId="335AAA08" w14:textId="77777777" w:rsidR="000F16C4" w:rsidRDefault="000F16C4" w:rsidP="000972AF">
            <w:pPr>
              <w:widowControl w:val="0"/>
              <w:autoSpaceDE w:val="0"/>
              <w:autoSpaceDN w:val="0"/>
              <w:adjustRightInd w:val="0"/>
              <w:spacing w:after="0" w:line="240" w:lineRule="auto"/>
              <w:jc w:val="center"/>
              <w:rPr>
                <w:szCs w:val="24"/>
              </w:rPr>
            </w:pPr>
            <w:r>
              <w:rPr>
                <w:szCs w:val="24"/>
              </w:rPr>
              <w:t>1.04</w:t>
            </w:r>
          </w:p>
        </w:tc>
        <w:tc>
          <w:tcPr>
            <w:tcW w:w="726" w:type="pct"/>
            <w:tcBorders>
              <w:top w:val="nil"/>
              <w:left w:val="nil"/>
              <w:bottom w:val="nil"/>
              <w:right w:val="nil"/>
            </w:tcBorders>
          </w:tcPr>
          <w:p w14:paraId="3839BF76" w14:textId="77777777" w:rsidR="000F16C4" w:rsidRDefault="000F16C4" w:rsidP="000972AF">
            <w:pPr>
              <w:widowControl w:val="0"/>
              <w:autoSpaceDE w:val="0"/>
              <w:autoSpaceDN w:val="0"/>
              <w:adjustRightInd w:val="0"/>
              <w:spacing w:after="0" w:line="240" w:lineRule="auto"/>
              <w:jc w:val="center"/>
              <w:rPr>
                <w:szCs w:val="24"/>
              </w:rPr>
            </w:pPr>
            <w:r>
              <w:rPr>
                <w:szCs w:val="24"/>
              </w:rPr>
              <w:t>1.14***</w:t>
            </w:r>
          </w:p>
        </w:tc>
        <w:tc>
          <w:tcPr>
            <w:tcW w:w="699" w:type="pct"/>
            <w:tcBorders>
              <w:top w:val="nil"/>
              <w:left w:val="nil"/>
              <w:bottom w:val="nil"/>
              <w:right w:val="nil"/>
            </w:tcBorders>
          </w:tcPr>
          <w:p w14:paraId="1A72E172" w14:textId="77777777" w:rsidR="000F16C4" w:rsidRDefault="000F16C4" w:rsidP="000972AF">
            <w:pPr>
              <w:widowControl w:val="0"/>
              <w:autoSpaceDE w:val="0"/>
              <w:autoSpaceDN w:val="0"/>
              <w:adjustRightInd w:val="0"/>
              <w:spacing w:after="0" w:line="240" w:lineRule="auto"/>
              <w:jc w:val="center"/>
              <w:rPr>
                <w:szCs w:val="24"/>
              </w:rPr>
            </w:pPr>
            <w:r>
              <w:rPr>
                <w:szCs w:val="24"/>
              </w:rPr>
              <w:t>1.01</w:t>
            </w:r>
          </w:p>
        </w:tc>
      </w:tr>
      <w:tr w:rsidR="000F16C4" w14:paraId="5A67BF07" w14:textId="77777777" w:rsidTr="000972AF">
        <w:trPr>
          <w:jc w:val="center"/>
        </w:trPr>
        <w:tc>
          <w:tcPr>
            <w:tcW w:w="1421" w:type="pct"/>
            <w:tcBorders>
              <w:top w:val="nil"/>
              <w:left w:val="nil"/>
              <w:bottom w:val="nil"/>
              <w:right w:val="nil"/>
            </w:tcBorders>
          </w:tcPr>
          <w:p w14:paraId="537093F7" w14:textId="77777777" w:rsidR="000F16C4" w:rsidRDefault="000F16C4" w:rsidP="000972AF">
            <w:pPr>
              <w:widowControl w:val="0"/>
              <w:autoSpaceDE w:val="0"/>
              <w:autoSpaceDN w:val="0"/>
              <w:adjustRightInd w:val="0"/>
              <w:spacing w:after="0" w:line="240" w:lineRule="auto"/>
              <w:rPr>
                <w:szCs w:val="24"/>
              </w:rPr>
            </w:pPr>
          </w:p>
        </w:tc>
        <w:tc>
          <w:tcPr>
            <w:tcW w:w="701" w:type="pct"/>
            <w:tcBorders>
              <w:top w:val="nil"/>
              <w:left w:val="nil"/>
              <w:bottom w:val="nil"/>
              <w:right w:val="nil"/>
            </w:tcBorders>
          </w:tcPr>
          <w:p w14:paraId="20E9525C"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751" w:type="pct"/>
            <w:tcBorders>
              <w:top w:val="nil"/>
              <w:left w:val="nil"/>
              <w:bottom w:val="nil"/>
              <w:right w:val="nil"/>
            </w:tcBorders>
          </w:tcPr>
          <w:p w14:paraId="32094EEB"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701" w:type="pct"/>
            <w:tcBorders>
              <w:top w:val="nil"/>
              <w:left w:val="nil"/>
              <w:bottom w:val="nil"/>
              <w:right w:val="nil"/>
            </w:tcBorders>
          </w:tcPr>
          <w:p w14:paraId="2A254964"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726" w:type="pct"/>
            <w:tcBorders>
              <w:top w:val="nil"/>
              <w:left w:val="nil"/>
              <w:bottom w:val="nil"/>
              <w:right w:val="nil"/>
            </w:tcBorders>
          </w:tcPr>
          <w:p w14:paraId="737D47C2" w14:textId="77777777" w:rsidR="000F16C4" w:rsidRDefault="000F16C4" w:rsidP="000972AF">
            <w:pPr>
              <w:widowControl w:val="0"/>
              <w:autoSpaceDE w:val="0"/>
              <w:autoSpaceDN w:val="0"/>
              <w:adjustRightInd w:val="0"/>
              <w:spacing w:after="0" w:line="240" w:lineRule="auto"/>
              <w:jc w:val="center"/>
              <w:rPr>
                <w:szCs w:val="24"/>
              </w:rPr>
            </w:pPr>
            <w:r>
              <w:rPr>
                <w:szCs w:val="24"/>
              </w:rPr>
              <w:t>(0.04)</w:t>
            </w:r>
          </w:p>
        </w:tc>
        <w:tc>
          <w:tcPr>
            <w:tcW w:w="699" w:type="pct"/>
            <w:tcBorders>
              <w:top w:val="nil"/>
              <w:left w:val="nil"/>
              <w:bottom w:val="nil"/>
              <w:right w:val="nil"/>
            </w:tcBorders>
          </w:tcPr>
          <w:p w14:paraId="2836D3CA"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r>
      <w:tr w:rsidR="000F16C4" w14:paraId="50877839" w14:textId="77777777" w:rsidTr="000972AF">
        <w:trPr>
          <w:jc w:val="center"/>
        </w:trPr>
        <w:tc>
          <w:tcPr>
            <w:tcW w:w="1421" w:type="pct"/>
            <w:tcBorders>
              <w:top w:val="nil"/>
              <w:left w:val="nil"/>
              <w:bottom w:val="nil"/>
              <w:right w:val="nil"/>
            </w:tcBorders>
          </w:tcPr>
          <w:p w14:paraId="591856CB" w14:textId="77777777" w:rsidR="000F16C4" w:rsidRDefault="000F16C4" w:rsidP="000972AF">
            <w:pPr>
              <w:widowControl w:val="0"/>
              <w:autoSpaceDE w:val="0"/>
              <w:autoSpaceDN w:val="0"/>
              <w:adjustRightInd w:val="0"/>
              <w:spacing w:after="0" w:line="240" w:lineRule="auto"/>
              <w:rPr>
                <w:szCs w:val="24"/>
              </w:rPr>
            </w:pPr>
            <w:r>
              <w:rPr>
                <w:szCs w:val="24"/>
              </w:rPr>
              <w:t>National partners</w:t>
            </w:r>
          </w:p>
        </w:tc>
        <w:tc>
          <w:tcPr>
            <w:tcW w:w="701" w:type="pct"/>
            <w:tcBorders>
              <w:top w:val="nil"/>
              <w:left w:val="nil"/>
              <w:bottom w:val="nil"/>
              <w:right w:val="nil"/>
            </w:tcBorders>
          </w:tcPr>
          <w:p w14:paraId="15C68F21" w14:textId="77777777" w:rsidR="000F16C4" w:rsidRDefault="000F16C4" w:rsidP="000972AF">
            <w:pPr>
              <w:widowControl w:val="0"/>
              <w:autoSpaceDE w:val="0"/>
              <w:autoSpaceDN w:val="0"/>
              <w:adjustRightInd w:val="0"/>
              <w:spacing w:after="0" w:line="240" w:lineRule="auto"/>
              <w:jc w:val="center"/>
              <w:rPr>
                <w:szCs w:val="24"/>
              </w:rPr>
            </w:pPr>
            <w:r>
              <w:rPr>
                <w:szCs w:val="24"/>
              </w:rPr>
              <w:t>0.97</w:t>
            </w:r>
          </w:p>
        </w:tc>
        <w:tc>
          <w:tcPr>
            <w:tcW w:w="751" w:type="pct"/>
            <w:tcBorders>
              <w:top w:val="nil"/>
              <w:left w:val="nil"/>
              <w:bottom w:val="nil"/>
              <w:right w:val="nil"/>
            </w:tcBorders>
          </w:tcPr>
          <w:p w14:paraId="7D6D8F3F" w14:textId="77777777" w:rsidR="000F16C4" w:rsidRDefault="000F16C4" w:rsidP="000972AF">
            <w:pPr>
              <w:widowControl w:val="0"/>
              <w:autoSpaceDE w:val="0"/>
              <w:autoSpaceDN w:val="0"/>
              <w:adjustRightInd w:val="0"/>
              <w:spacing w:after="0" w:line="240" w:lineRule="auto"/>
              <w:jc w:val="center"/>
              <w:rPr>
                <w:szCs w:val="24"/>
              </w:rPr>
            </w:pPr>
            <w:r>
              <w:rPr>
                <w:szCs w:val="24"/>
              </w:rPr>
              <w:t>1.00</w:t>
            </w:r>
          </w:p>
        </w:tc>
        <w:tc>
          <w:tcPr>
            <w:tcW w:w="701" w:type="pct"/>
            <w:tcBorders>
              <w:top w:val="nil"/>
              <w:left w:val="nil"/>
              <w:bottom w:val="nil"/>
              <w:right w:val="nil"/>
            </w:tcBorders>
          </w:tcPr>
          <w:p w14:paraId="6F1D4ECF" w14:textId="77777777" w:rsidR="000F16C4" w:rsidRDefault="000F16C4" w:rsidP="000972AF">
            <w:pPr>
              <w:widowControl w:val="0"/>
              <w:autoSpaceDE w:val="0"/>
              <w:autoSpaceDN w:val="0"/>
              <w:adjustRightInd w:val="0"/>
              <w:spacing w:after="0" w:line="240" w:lineRule="auto"/>
              <w:jc w:val="center"/>
              <w:rPr>
                <w:szCs w:val="24"/>
              </w:rPr>
            </w:pPr>
            <w:r>
              <w:rPr>
                <w:szCs w:val="24"/>
              </w:rPr>
              <w:t>0.96</w:t>
            </w:r>
          </w:p>
        </w:tc>
        <w:tc>
          <w:tcPr>
            <w:tcW w:w="726" w:type="pct"/>
            <w:tcBorders>
              <w:top w:val="nil"/>
              <w:left w:val="nil"/>
              <w:bottom w:val="nil"/>
              <w:right w:val="nil"/>
            </w:tcBorders>
          </w:tcPr>
          <w:p w14:paraId="52653CD4" w14:textId="77777777" w:rsidR="000F16C4" w:rsidRDefault="000F16C4" w:rsidP="000972AF">
            <w:pPr>
              <w:widowControl w:val="0"/>
              <w:autoSpaceDE w:val="0"/>
              <w:autoSpaceDN w:val="0"/>
              <w:adjustRightInd w:val="0"/>
              <w:spacing w:after="0" w:line="240" w:lineRule="auto"/>
              <w:jc w:val="center"/>
              <w:rPr>
                <w:szCs w:val="24"/>
              </w:rPr>
            </w:pPr>
            <w:r>
              <w:rPr>
                <w:szCs w:val="24"/>
              </w:rPr>
              <w:t>1.04</w:t>
            </w:r>
          </w:p>
        </w:tc>
        <w:tc>
          <w:tcPr>
            <w:tcW w:w="699" w:type="pct"/>
            <w:tcBorders>
              <w:top w:val="nil"/>
              <w:left w:val="nil"/>
              <w:bottom w:val="nil"/>
              <w:right w:val="nil"/>
            </w:tcBorders>
          </w:tcPr>
          <w:p w14:paraId="10DB84EF" w14:textId="77777777" w:rsidR="000F16C4" w:rsidRDefault="000F16C4" w:rsidP="000972AF">
            <w:pPr>
              <w:widowControl w:val="0"/>
              <w:autoSpaceDE w:val="0"/>
              <w:autoSpaceDN w:val="0"/>
              <w:adjustRightInd w:val="0"/>
              <w:spacing w:after="0" w:line="240" w:lineRule="auto"/>
              <w:jc w:val="center"/>
              <w:rPr>
                <w:szCs w:val="24"/>
              </w:rPr>
            </w:pPr>
            <w:r>
              <w:rPr>
                <w:szCs w:val="24"/>
              </w:rPr>
              <w:t>0.96</w:t>
            </w:r>
          </w:p>
        </w:tc>
      </w:tr>
      <w:tr w:rsidR="000F16C4" w14:paraId="5029F5BB" w14:textId="77777777" w:rsidTr="000972AF">
        <w:trPr>
          <w:jc w:val="center"/>
        </w:trPr>
        <w:tc>
          <w:tcPr>
            <w:tcW w:w="1421" w:type="pct"/>
            <w:tcBorders>
              <w:top w:val="nil"/>
              <w:left w:val="nil"/>
              <w:bottom w:val="nil"/>
              <w:right w:val="nil"/>
            </w:tcBorders>
          </w:tcPr>
          <w:p w14:paraId="781C13C5" w14:textId="77777777" w:rsidR="000F16C4" w:rsidRDefault="000F16C4" w:rsidP="000972AF">
            <w:pPr>
              <w:widowControl w:val="0"/>
              <w:autoSpaceDE w:val="0"/>
              <w:autoSpaceDN w:val="0"/>
              <w:adjustRightInd w:val="0"/>
              <w:spacing w:after="0" w:line="240" w:lineRule="auto"/>
              <w:rPr>
                <w:szCs w:val="24"/>
              </w:rPr>
            </w:pPr>
          </w:p>
        </w:tc>
        <w:tc>
          <w:tcPr>
            <w:tcW w:w="701" w:type="pct"/>
            <w:tcBorders>
              <w:top w:val="nil"/>
              <w:left w:val="nil"/>
              <w:bottom w:val="nil"/>
              <w:right w:val="nil"/>
            </w:tcBorders>
          </w:tcPr>
          <w:p w14:paraId="682F7070"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751" w:type="pct"/>
            <w:tcBorders>
              <w:top w:val="nil"/>
              <w:left w:val="nil"/>
              <w:bottom w:val="nil"/>
              <w:right w:val="nil"/>
            </w:tcBorders>
          </w:tcPr>
          <w:p w14:paraId="7EF96CE6"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701" w:type="pct"/>
            <w:tcBorders>
              <w:top w:val="nil"/>
              <w:left w:val="nil"/>
              <w:bottom w:val="nil"/>
              <w:right w:val="nil"/>
            </w:tcBorders>
          </w:tcPr>
          <w:p w14:paraId="41D3A931"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726" w:type="pct"/>
            <w:tcBorders>
              <w:top w:val="nil"/>
              <w:left w:val="nil"/>
              <w:bottom w:val="nil"/>
              <w:right w:val="nil"/>
            </w:tcBorders>
          </w:tcPr>
          <w:p w14:paraId="700E9D88"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699" w:type="pct"/>
            <w:tcBorders>
              <w:top w:val="nil"/>
              <w:left w:val="nil"/>
              <w:bottom w:val="nil"/>
              <w:right w:val="nil"/>
            </w:tcBorders>
          </w:tcPr>
          <w:p w14:paraId="7BBE5759"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r>
      <w:tr w:rsidR="000F16C4" w14:paraId="082E873C" w14:textId="77777777" w:rsidTr="000972AF">
        <w:trPr>
          <w:jc w:val="center"/>
        </w:trPr>
        <w:tc>
          <w:tcPr>
            <w:tcW w:w="1421" w:type="pct"/>
            <w:tcBorders>
              <w:top w:val="nil"/>
              <w:left w:val="nil"/>
              <w:bottom w:val="nil"/>
              <w:right w:val="nil"/>
            </w:tcBorders>
          </w:tcPr>
          <w:p w14:paraId="74C4DF45" w14:textId="77777777" w:rsidR="000F16C4" w:rsidRDefault="000F16C4" w:rsidP="000972AF">
            <w:pPr>
              <w:widowControl w:val="0"/>
              <w:autoSpaceDE w:val="0"/>
              <w:autoSpaceDN w:val="0"/>
              <w:adjustRightInd w:val="0"/>
              <w:spacing w:after="0" w:line="240" w:lineRule="auto"/>
              <w:rPr>
                <w:szCs w:val="24"/>
              </w:rPr>
            </w:pPr>
            <w:r>
              <w:rPr>
                <w:szCs w:val="24"/>
              </w:rPr>
              <w:t>Foreign partners</w:t>
            </w:r>
          </w:p>
        </w:tc>
        <w:tc>
          <w:tcPr>
            <w:tcW w:w="701" w:type="pct"/>
            <w:tcBorders>
              <w:top w:val="nil"/>
              <w:left w:val="nil"/>
              <w:bottom w:val="nil"/>
              <w:right w:val="nil"/>
            </w:tcBorders>
          </w:tcPr>
          <w:p w14:paraId="3FB66030" w14:textId="77777777" w:rsidR="000F16C4" w:rsidRDefault="000F16C4" w:rsidP="000972AF">
            <w:pPr>
              <w:widowControl w:val="0"/>
              <w:autoSpaceDE w:val="0"/>
              <w:autoSpaceDN w:val="0"/>
              <w:adjustRightInd w:val="0"/>
              <w:spacing w:after="0" w:line="240" w:lineRule="auto"/>
              <w:jc w:val="center"/>
              <w:rPr>
                <w:szCs w:val="24"/>
              </w:rPr>
            </w:pPr>
            <w:r>
              <w:rPr>
                <w:szCs w:val="24"/>
              </w:rPr>
              <w:t>1.12**</w:t>
            </w:r>
          </w:p>
        </w:tc>
        <w:tc>
          <w:tcPr>
            <w:tcW w:w="751" w:type="pct"/>
            <w:tcBorders>
              <w:top w:val="nil"/>
              <w:left w:val="nil"/>
              <w:bottom w:val="nil"/>
              <w:right w:val="nil"/>
            </w:tcBorders>
          </w:tcPr>
          <w:p w14:paraId="5294F0AC" w14:textId="77777777" w:rsidR="000F16C4" w:rsidRDefault="000F16C4" w:rsidP="000972AF">
            <w:pPr>
              <w:widowControl w:val="0"/>
              <w:autoSpaceDE w:val="0"/>
              <w:autoSpaceDN w:val="0"/>
              <w:adjustRightInd w:val="0"/>
              <w:spacing w:after="0" w:line="240" w:lineRule="auto"/>
              <w:jc w:val="center"/>
              <w:rPr>
                <w:szCs w:val="24"/>
              </w:rPr>
            </w:pPr>
            <w:r>
              <w:rPr>
                <w:szCs w:val="24"/>
              </w:rPr>
              <w:t>1.06+</w:t>
            </w:r>
          </w:p>
        </w:tc>
        <w:tc>
          <w:tcPr>
            <w:tcW w:w="701" w:type="pct"/>
            <w:tcBorders>
              <w:top w:val="nil"/>
              <w:left w:val="nil"/>
              <w:bottom w:val="nil"/>
              <w:right w:val="nil"/>
            </w:tcBorders>
          </w:tcPr>
          <w:p w14:paraId="36E1CB27" w14:textId="77777777" w:rsidR="000F16C4" w:rsidRDefault="000F16C4" w:rsidP="000972AF">
            <w:pPr>
              <w:widowControl w:val="0"/>
              <w:autoSpaceDE w:val="0"/>
              <w:autoSpaceDN w:val="0"/>
              <w:adjustRightInd w:val="0"/>
              <w:spacing w:after="0" w:line="240" w:lineRule="auto"/>
              <w:jc w:val="center"/>
              <w:rPr>
                <w:szCs w:val="24"/>
              </w:rPr>
            </w:pPr>
            <w:r>
              <w:rPr>
                <w:szCs w:val="24"/>
              </w:rPr>
              <w:t>1.04</w:t>
            </w:r>
          </w:p>
        </w:tc>
        <w:tc>
          <w:tcPr>
            <w:tcW w:w="726" w:type="pct"/>
            <w:tcBorders>
              <w:top w:val="nil"/>
              <w:left w:val="nil"/>
              <w:bottom w:val="nil"/>
              <w:right w:val="nil"/>
            </w:tcBorders>
          </w:tcPr>
          <w:p w14:paraId="0F3B7AC0" w14:textId="77777777" w:rsidR="000F16C4" w:rsidRDefault="000F16C4" w:rsidP="000972AF">
            <w:pPr>
              <w:widowControl w:val="0"/>
              <w:autoSpaceDE w:val="0"/>
              <w:autoSpaceDN w:val="0"/>
              <w:adjustRightInd w:val="0"/>
              <w:spacing w:after="0" w:line="240" w:lineRule="auto"/>
              <w:jc w:val="center"/>
              <w:rPr>
                <w:szCs w:val="24"/>
              </w:rPr>
            </w:pPr>
            <w:r>
              <w:rPr>
                <w:szCs w:val="24"/>
              </w:rPr>
              <w:t>1.00</w:t>
            </w:r>
          </w:p>
        </w:tc>
        <w:tc>
          <w:tcPr>
            <w:tcW w:w="699" w:type="pct"/>
            <w:tcBorders>
              <w:top w:val="nil"/>
              <w:left w:val="nil"/>
              <w:bottom w:val="nil"/>
              <w:right w:val="nil"/>
            </w:tcBorders>
          </w:tcPr>
          <w:p w14:paraId="77E0DA95" w14:textId="77777777" w:rsidR="000F16C4" w:rsidRDefault="000F16C4" w:rsidP="000972AF">
            <w:pPr>
              <w:widowControl w:val="0"/>
              <w:autoSpaceDE w:val="0"/>
              <w:autoSpaceDN w:val="0"/>
              <w:adjustRightInd w:val="0"/>
              <w:spacing w:after="0" w:line="240" w:lineRule="auto"/>
              <w:jc w:val="center"/>
              <w:rPr>
                <w:szCs w:val="24"/>
              </w:rPr>
            </w:pPr>
            <w:r>
              <w:rPr>
                <w:szCs w:val="24"/>
              </w:rPr>
              <w:t>1.06+</w:t>
            </w:r>
          </w:p>
        </w:tc>
      </w:tr>
      <w:tr w:rsidR="000F16C4" w14:paraId="35C7F759" w14:textId="77777777" w:rsidTr="000972AF">
        <w:trPr>
          <w:jc w:val="center"/>
        </w:trPr>
        <w:tc>
          <w:tcPr>
            <w:tcW w:w="1421" w:type="pct"/>
            <w:tcBorders>
              <w:top w:val="nil"/>
              <w:left w:val="nil"/>
              <w:bottom w:val="nil"/>
              <w:right w:val="nil"/>
            </w:tcBorders>
          </w:tcPr>
          <w:p w14:paraId="7C06BB12" w14:textId="77777777" w:rsidR="000F16C4" w:rsidRDefault="000F16C4" w:rsidP="000972AF">
            <w:pPr>
              <w:widowControl w:val="0"/>
              <w:autoSpaceDE w:val="0"/>
              <w:autoSpaceDN w:val="0"/>
              <w:adjustRightInd w:val="0"/>
              <w:spacing w:after="0" w:line="240" w:lineRule="auto"/>
              <w:rPr>
                <w:szCs w:val="24"/>
              </w:rPr>
            </w:pPr>
          </w:p>
        </w:tc>
        <w:tc>
          <w:tcPr>
            <w:tcW w:w="701" w:type="pct"/>
            <w:tcBorders>
              <w:top w:val="nil"/>
              <w:left w:val="nil"/>
              <w:bottom w:val="nil"/>
              <w:right w:val="nil"/>
            </w:tcBorders>
          </w:tcPr>
          <w:p w14:paraId="29439D2C" w14:textId="77777777" w:rsidR="000F16C4" w:rsidRDefault="000F16C4" w:rsidP="000972AF">
            <w:pPr>
              <w:widowControl w:val="0"/>
              <w:autoSpaceDE w:val="0"/>
              <w:autoSpaceDN w:val="0"/>
              <w:adjustRightInd w:val="0"/>
              <w:spacing w:after="0" w:line="240" w:lineRule="auto"/>
              <w:jc w:val="center"/>
              <w:rPr>
                <w:szCs w:val="24"/>
              </w:rPr>
            </w:pPr>
            <w:r>
              <w:rPr>
                <w:szCs w:val="24"/>
              </w:rPr>
              <w:t>(0.04)</w:t>
            </w:r>
          </w:p>
        </w:tc>
        <w:tc>
          <w:tcPr>
            <w:tcW w:w="751" w:type="pct"/>
            <w:tcBorders>
              <w:top w:val="nil"/>
              <w:left w:val="nil"/>
              <w:bottom w:val="nil"/>
              <w:right w:val="nil"/>
            </w:tcBorders>
          </w:tcPr>
          <w:p w14:paraId="21F16FBC"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701" w:type="pct"/>
            <w:tcBorders>
              <w:top w:val="nil"/>
              <w:left w:val="nil"/>
              <w:bottom w:val="nil"/>
              <w:right w:val="nil"/>
            </w:tcBorders>
          </w:tcPr>
          <w:p w14:paraId="46585577"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726" w:type="pct"/>
            <w:tcBorders>
              <w:top w:val="nil"/>
              <w:left w:val="nil"/>
              <w:bottom w:val="nil"/>
              <w:right w:val="nil"/>
            </w:tcBorders>
          </w:tcPr>
          <w:p w14:paraId="45D38BB9"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699" w:type="pct"/>
            <w:tcBorders>
              <w:top w:val="nil"/>
              <w:left w:val="nil"/>
              <w:bottom w:val="nil"/>
              <w:right w:val="nil"/>
            </w:tcBorders>
          </w:tcPr>
          <w:p w14:paraId="5FA41BB6"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r>
      <w:tr w:rsidR="000F16C4" w14:paraId="72B673C7" w14:textId="77777777" w:rsidTr="000972AF">
        <w:trPr>
          <w:jc w:val="center"/>
        </w:trPr>
        <w:tc>
          <w:tcPr>
            <w:tcW w:w="1421" w:type="pct"/>
            <w:tcBorders>
              <w:top w:val="nil"/>
              <w:left w:val="nil"/>
              <w:bottom w:val="nil"/>
              <w:right w:val="nil"/>
            </w:tcBorders>
          </w:tcPr>
          <w:p w14:paraId="5368F031" w14:textId="77777777" w:rsidR="000F16C4" w:rsidRDefault="000F16C4" w:rsidP="000972AF">
            <w:pPr>
              <w:widowControl w:val="0"/>
              <w:autoSpaceDE w:val="0"/>
              <w:autoSpaceDN w:val="0"/>
              <w:adjustRightInd w:val="0"/>
              <w:spacing w:after="0" w:line="240" w:lineRule="auto"/>
              <w:rPr>
                <w:szCs w:val="24"/>
              </w:rPr>
            </w:pPr>
            <w:r>
              <w:rPr>
                <w:szCs w:val="24"/>
              </w:rPr>
              <w:t>Small city</w:t>
            </w:r>
          </w:p>
        </w:tc>
        <w:tc>
          <w:tcPr>
            <w:tcW w:w="701" w:type="pct"/>
            <w:tcBorders>
              <w:top w:val="nil"/>
              <w:left w:val="nil"/>
              <w:bottom w:val="nil"/>
              <w:right w:val="nil"/>
            </w:tcBorders>
          </w:tcPr>
          <w:p w14:paraId="7BD35FFD" w14:textId="77777777" w:rsidR="000F16C4" w:rsidRDefault="000F16C4" w:rsidP="000972AF">
            <w:pPr>
              <w:widowControl w:val="0"/>
              <w:autoSpaceDE w:val="0"/>
              <w:autoSpaceDN w:val="0"/>
              <w:adjustRightInd w:val="0"/>
              <w:spacing w:after="0" w:line="240" w:lineRule="auto"/>
              <w:jc w:val="center"/>
              <w:rPr>
                <w:szCs w:val="24"/>
              </w:rPr>
            </w:pPr>
            <w:r>
              <w:rPr>
                <w:szCs w:val="24"/>
              </w:rPr>
              <w:t>1.09</w:t>
            </w:r>
          </w:p>
        </w:tc>
        <w:tc>
          <w:tcPr>
            <w:tcW w:w="751" w:type="pct"/>
            <w:tcBorders>
              <w:top w:val="nil"/>
              <w:left w:val="nil"/>
              <w:bottom w:val="nil"/>
              <w:right w:val="nil"/>
            </w:tcBorders>
          </w:tcPr>
          <w:p w14:paraId="77166518" w14:textId="77777777" w:rsidR="000F16C4" w:rsidRDefault="000F16C4" w:rsidP="000972AF">
            <w:pPr>
              <w:widowControl w:val="0"/>
              <w:autoSpaceDE w:val="0"/>
              <w:autoSpaceDN w:val="0"/>
              <w:adjustRightInd w:val="0"/>
              <w:spacing w:after="0" w:line="240" w:lineRule="auto"/>
              <w:jc w:val="center"/>
              <w:rPr>
                <w:szCs w:val="24"/>
              </w:rPr>
            </w:pPr>
            <w:r>
              <w:rPr>
                <w:szCs w:val="24"/>
              </w:rPr>
              <w:t>1.13</w:t>
            </w:r>
          </w:p>
        </w:tc>
        <w:tc>
          <w:tcPr>
            <w:tcW w:w="701" w:type="pct"/>
            <w:tcBorders>
              <w:top w:val="nil"/>
              <w:left w:val="nil"/>
              <w:bottom w:val="nil"/>
              <w:right w:val="nil"/>
            </w:tcBorders>
          </w:tcPr>
          <w:p w14:paraId="3131310C" w14:textId="77777777" w:rsidR="000F16C4" w:rsidRDefault="000F16C4" w:rsidP="000972AF">
            <w:pPr>
              <w:widowControl w:val="0"/>
              <w:autoSpaceDE w:val="0"/>
              <w:autoSpaceDN w:val="0"/>
              <w:adjustRightInd w:val="0"/>
              <w:spacing w:after="0" w:line="240" w:lineRule="auto"/>
              <w:jc w:val="center"/>
              <w:rPr>
                <w:szCs w:val="24"/>
              </w:rPr>
            </w:pPr>
            <w:r>
              <w:rPr>
                <w:szCs w:val="24"/>
              </w:rPr>
              <w:t>0.92</w:t>
            </w:r>
          </w:p>
        </w:tc>
        <w:tc>
          <w:tcPr>
            <w:tcW w:w="726" w:type="pct"/>
            <w:tcBorders>
              <w:top w:val="nil"/>
              <w:left w:val="nil"/>
              <w:bottom w:val="nil"/>
              <w:right w:val="nil"/>
            </w:tcBorders>
          </w:tcPr>
          <w:p w14:paraId="47335F6B" w14:textId="77777777" w:rsidR="000F16C4" w:rsidRDefault="000F16C4" w:rsidP="000972AF">
            <w:pPr>
              <w:widowControl w:val="0"/>
              <w:autoSpaceDE w:val="0"/>
              <w:autoSpaceDN w:val="0"/>
              <w:adjustRightInd w:val="0"/>
              <w:spacing w:after="0" w:line="240" w:lineRule="auto"/>
              <w:jc w:val="center"/>
              <w:rPr>
                <w:szCs w:val="24"/>
              </w:rPr>
            </w:pPr>
            <w:r>
              <w:rPr>
                <w:szCs w:val="24"/>
              </w:rPr>
              <w:t>1.01</w:t>
            </w:r>
          </w:p>
        </w:tc>
        <w:tc>
          <w:tcPr>
            <w:tcW w:w="699" w:type="pct"/>
            <w:tcBorders>
              <w:top w:val="nil"/>
              <w:left w:val="nil"/>
              <w:bottom w:val="nil"/>
              <w:right w:val="nil"/>
            </w:tcBorders>
          </w:tcPr>
          <w:p w14:paraId="18E05F58" w14:textId="77777777" w:rsidR="000F16C4" w:rsidRDefault="000F16C4" w:rsidP="000972AF">
            <w:pPr>
              <w:widowControl w:val="0"/>
              <w:autoSpaceDE w:val="0"/>
              <w:autoSpaceDN w:val="0"/>
              <w:adjustRightInd w:val="0"/>
              <w:spacing w:after="0" w:line="240" w:lineRule="auto"/>
              <w:jc w:val="center"/>
              <w:rPr>
                <w:szCs w:val="24"/>
              </w:rPr>
            </w:pPr>
            <w:r>
              <w:rPr>
                <w:szCs w:val="24"/>
              </w:rPr>
              <w:t>0.95</w:t>
            </w:r>
          </w:p>
        </w:tc>
      </w:tr>
      <w:tr w:rsidR="000F16C4" w14:paraId="3869FF25" w14:textId="77777777" w:rsidTr="000972AF">
        <w:trPr>
          <w:jc w:val="center"/>
        </w:trPr>
        <w:tc>
          <w:tcPr>
            <w:tcW w:w="1421" w:type="pct"/>
            <w:tcBorders>
              <w:top w:val="nil"/>
              <w:left w:val="nil"/>
              <w:bottom w:val="nil"/>
              <w:right w:val="nil"/>
            </w:tcBorders>
          </w:tcPr>
          <w:p w14:paraId="5C849E11" w14:textId="77777777" w:rsidR="000F16C4" w:rsidRDefault="000F16C4" w:rsidP="000972AF">
            <w:pPr>
              <w:widowControl w:val="0"/>
              <w:autoSpaceDE w:val="0"/>
              <w:autoSpaceDN w:val="0"/>
              <w:adjustRightInd w:val="0"/>
              <w:spacing w:after="0" w:line="240" w:lineRule="auto"/>
              <w:rPr>
                <w:szCs w:val="24"/>
              </w:rPr>
            </w:pPr>
          </w:p>
        </w:tc>
        <w:tc>
          <w:tcPr>
            <w:tcW w:w="701" w:type="pct"/>
            <w:tcBorders>
              <w:top w:val="nil"/>
              <w:left w:val="nil"/>
              <w:bottom w:val="nil"/>
              <w:right w:val="nil"/>
            </w:tcBorders>
          </w:tcPr>
          <w:p w14:paraId="66B0C6EB" w14:textId="77777777" w:rsidR="000F16C4" w:rsidRDefault="000F16C4" w:rsidP="000972AF">
            <w:pPr>
              <w:widowControl w:val="0"/>
              <w:autoSpaceDE w:val="0"/>
              <w:autoSpaceDN w:val="0"/>
              <w:adjustRightInd w:val="0"/>
              <w:spacing w:after="0" w:line="240" w:lineRule="auto"/>
              <w:jc w:val="center"/>
              <w:rPr>
                <w:szCs w:val="24"/>
              </w:rPr>
            </w:pPr>
            <w:r>
              <w:rPr>
                <w:szCs w:val="24"/>
              </w:rPr>
              <w:t>(0.11)</w:t>
            </w:r>
          </w:p>
        </w:tc>
        <w:tc>
          <w:tcPr>
            <w:tcW w:w="751" w:type="pct"/>
            <w:tcBorders>
              <w:top w:val="nil"/>
              <w:left w:val="nil"/>
              <w:bottom w:val="nil"/>
              <w:right w:val="nil"/>
            </w:tcBorders>
          </w:tcPr>
          <w:p w14:paraId="26CC0FEC" w14:textId="77777777" w:rsidR="000F16C4" w:rsidRDefault="000F16C4" w:rsidP="000972AF">
            <w:pPr>
              <w:widowControl w:val="0"/>
              <w:autoSpaceDE w:val="0"/>
              <w:autoSpaceDN w:val="0"/>
              <w:adjustRightInd w:val="0"/>
              <w:spacing w:after="0" w:line="240" w:lineRule="auto"/>
              <w:jc w:val="center"/>
              <w:rPr>
                <w:szCs w:val="24"/>
              </w:rPr>
            </w:pPr>
            <w:r>
              <w:rPr>
                <w:szCs w:val="24"/>
              </w:rPr>
              <w:t>(0.12)</w:t>
            </w:r>
          </w:p>
        </w:tc>
        <w:tc>
          <w:tcPr>
            <w:tcW w:w="701" w:type="pct"/>
            <w:tcBorders>
              <w:top w:val="nil"/>
              <w:left w:val="nil"/>
              <w:bottom w:val="nil"/>
              <w:right w:val="nil"/>
            </w:tcBorders>
          </w:tcPr>
          <w:p w14:paraId="7D8B8F72" w14:textId="77777777" w:rsidR="000F16C4" w:rsidRDefault="000F16C4" w:rsidP="000972AF">
            <w:pPr>
              <w:widowControl w:val="0"/>
              <w:autoSpaceDE w:val="0"/>
              <w:autoSpaceDN w:val="0"/>
              <w:adjustRightInd w:val="0"/>
              <w:spacing w:after="0" w:line="240" w:lineRule="auto"/>
              <w:jc w:val="center"/>
              <w:rPr>
                <w:szCs w:val="24"/>
              </w:rPr>
            </w:pPr>
            <w:r>
              <w:rPr>
                <w:szCs w:val="24"/>
              </w:rPr>
              <w:t>(0.09)</w:t>
            </w:r>
          </w:p>
        </w:tc>
        <w:tc>
          <w:tcPr>
            <w:tcW w:w="726" w:type="pct"/>
            <w:tcBorders>
              <w:top w:val="nil"/>
              <w:left w:val="nil"/>
              <w:bottom w:val="nil"/>
              <w:right w:val="nil"/>
            </w:tcBorders>
          </w:tcPr>
          <w:p w14:paraId="6E0B09E3" w14:textId="77777777" w:rsidR="000F16C4" w:rsidRDefault="000F16C4" w:rsidP="000972AF">
            <w:pPr>
              <w:widowControl w:val="0"/>
              <w:autoSpaceDE w:val="0"/>
              <w:autoSpaceDN w:val="0"/>
              <w:adjustRightInd w:val="0"/>
              <w:spacing w:after="0" w:line="240" w:lineRule="auto"/>
              <w:jc w:val="center"/>
              <w:rPr>
                <w:szCs w:val="24"/>
              </w:rPr>
            </w:pPr>
            <w:r>
              <w:rPr>
                <w:szCs w:val="24"/>
              </w:rPr>
              <w:t>(0.10)</w:t>
            </w:r>
          </w:p>
        </w:tc>
        <w:tc>
          <w:tcPr>
            <w:tcW w:w="699" w:type="pct"/>
            <w:tcBorders>
              <w:top w:val="nil"/>
              <w:left w:val="nil"/>
              <w:bottom w:val="nil"/>
              <w:right w:val="nil"/>
            </w:tcBorders>
          </w:tcPr>
          <w:p w14:paraId="388744DF" w14:textId="77777777" w:rsidR="000F16C4" w:rsidRDefault="000F16C4" w:rsidP="000972AF">
            <w:pPr>
              <w:widowControl w:val="0"/>
              <w:autoSpaceDE w:val="0"/>
              <w:autoSpaceDN w:val="0"/>
              <w:adjustRightInd w:val="0"/>
              <w:spacing w:after="0" w:line="240" w:lineRule="auto"/>
              <w:jc w:val="center"/>
              <w:rPr>
                <w:szCs w:val="24"/>
              </w:rPr>
            </w:pPr>
            <w:r>
              <w:rPr>
                <w:szCs w:val="24"/>
              </w:rPr>
              <w:t>(0.09)</w:t>
            </w:r>
          </w:p>
        </w:tc>
      </w:tr>
      <w:tr w:rsidR="000F16C4" w14:paraId="26975A93" w14:textId="77777777" w:rsidTr="000972AF">
        <w:trPr>
          <w:jc w:val="center"/>
        </w:trPr>
        <w:tc>
          <w:tcPr>
            <w:tcW w:w="1421" w:type="pct"/>
            <w:tcBorders>
              <w:top w:val="nil"/>
              <w:left w:val="nil"/>
              <w:bottom w:val="nil"/>
              <w:right w:val="nil"/>
            </w:tcBorders>
          </w:tcPr>
          <w:p w14:paraId="556E0A01" w14:textId="77777777" w:rsidR="000F16C4" w:rsidRDefault="000F16C4" w:rsidP="000972AF">
            <w:pPr>
              <w:widowControl w:val="0"/>
              <w:autoSpaceDE w:val="0"/>
              <w:autoSpaceDN w:val="0"/>
              <w:adjustRightInd w:val="0"/>
              <w:spacing w:after="0" w:line="240" w:lineRule="auto"/>
              <w:rPr>
                <w:szCs w:val="24"/>
              </w:rPr>
            </w:pPr>
            <w:r>
              <w:rPr>
                <w:szCs w:val="24"/>
              </w:rPr>
              <w:t>Medium city</w:t>
            </w:r>
          </w:p>
        </w:tc>
        <w:tc>
          <w:tcPr>
            <w:tcW w:w="701" w:type="pct"/>
            <w:tcBorders>
              <w:top w:val="nil"/>
              <w:left w:val="nil"/>
              <w:bottom w:val="nil"/>
              <w:right w:val="nil"/>
            </w:tcBorders>
          </w:tcPr>
          <w:p w14:paraId="7982A0DA" w14:textId="77777777" w:rsidR="000F16C4" w:rsidRDefault="000F16C4" w:rsidP="000972AF">
            <w:pPr>
              <w:widowControl w:val="0"/>
              <w:autoSpaceDE w:val="0"/>
              <w:autoSpaceDN w:val="0"/>
              <w:adjustRightInd w:val="0"/>
              <w:spacing w:after="0" w:line="240" w:lineRule="auto"/>
              <w:jc w:val="center"/>
              <w:rPr>
                <w:szCs w:val="24"/>
              </w:rPr>
            </w:pPr>
            <w:r>
              <w:rPr>
                <w:szCs w:val="24"/>
              </w:rPr>
              <w:t>1.21+</w:t>
            </w:r>
          </w:p>
        </w:tc>
        <w:tc>
          <w:tcPr>
            <w:tcW w:w="751" w:type="pct"/>
            <w:tcBorders>
              <w:top w:val="nil"/>
              <w:left w:val="nil"/>
              <w:bottom w:val="nil"/>
              <w:right w:val="nil"/>
            </w:tcBorders>
          </w:tcPr>
          <w:p w14:paraId="2361B8E4" w14:textId="77777777" w:rsidR="000F16C4" w:rsidRDefault="000F16C4" w:rsidP="000972AF">
            <w:pPr>
              <w:widowControl w:val="0"/>
              <w:autoSpaceDE w:val="0"/>
              <w:autoSpaceDN w:val="0"/>
              <w:adjustRightInd w:val="0"/>
              <w:spacing w:after="0" w:line="240" w:lineRule="auto"/>
              <w:jc w:val="center"/>
              <w:rPr>
                <w:szCs w:val="24"/>
              </w:rPr>
            </w:pPr>
            <w:r>
              <w:rPr>
                <w:szCs w:val="24"/>
              </w:rPr>
              <w:t>1.20</w:t>
            </w:r>
          </w:p>
        </w:tc>
        <w:tc>
          <w:tcPr>
            <w:tcW w:w="701" w:type="pct"/>
            <w:tcBorders>
              <w:top w:val="nil"/>
              <w:left w:val="nil"/>
              <w:bottom w:val="nil"/>
              <w:right w:val="nil"/>
            </w:tcBorders>
          </w:tcPr>
          <w:p w14:paraId="76FED9AB" w14:textId="77777777" w:rsidR="000F16C4" w:rsidRDefault="000F16C4" w:rsidP="000972AF">
            <w:pPr>
              <w:widowControl w:val="0"/>
              <w:autoSpaceDE w:val="0"/>
              <w:autoSpaceDN w:val="0"/>
              <w:adjustRightInd w:val="0"/>
              <w:spacing w:after="0" w:line="240" w:lineRule="auto"/>
              <w:jc w:val="center"/>
              <w:rPr>
                <w:szCs w:val="24"/>
              </w:rPr>
            </w:pPr>
            <w:r>
              <w:rPr>
                <w:szCs w:val="24"/>
              </w:rPr>
              <w:t>1.00</w:t>
            </w:r>
          </w:p>
        </w:tc>
        <w:tc>
          <w:tcPr>
            <w:tcW w:w="726" w:type="pct"/>
            <w:tcBorders>
              <w:top w:val="nil"/>
              <w:left w:val="nil"/>
              <w:bottom w:val="nil"/>
              <w:right w:val="nil"/>
            </w:tcBorders>
          </w:tcPr>
          <w:p w14:paraId="29F162F8" w14:textId="77777777" w:rsidR="000F16C4" w:rsidRDefault="000F16C4" w:rsidP="000972AF">
            <w:pPr>
              <w:widowControl w:val="0"/>
              <w:autoSpaceDE w:val="0"/>
              <w:autoSpaceDN w:val="0"/>
              <w:adjustRightInd w:val="0"/>
              <w:spacing w:after="0" w:line="240" w:lineRule="auto"/>
              <w:jc w:val="center"/>
              <w:rPr>
                <w:szCs w:val="24"/>
              </w:rPr>
            </w:pPr>
            <w:r>
              <w:rPr>
                <w:szCs w:val="24"/>
              </w:rPr>
              <w:t>1.10</w:t>
            </w:r>
          </w:p>
        </w:tc>
        <w:tc>
          <w:tcPr>
            <w:tcW w:w="699" w:type="pct"/>
            <w:tcBorders>
              <w:top w:val="nil"/>
              <w:left w:val="nil"/>
              <w:bottom w:val="nil"/>
              <w:right w:val="nil"/>
            </w:tcBorders>
          </w:tcPr>
          <w:p w14:paraId="2C6E82A9" w14:textId="77777777" w:rsidR="000F16C4" w:rsidRDefault="000F16C4" w:rsidP="000972AF">
            <w:pPr>
              <w:widowControl w:val="0"/>
              <w:autoSpaceDE w:val="0"/>
              <w:autoSpaceDN w:val="0"/>
              <w:adjustRightInd w:val="0"/>
              <w:spacing w:after="0" w:line="240" w:lineRule="auto"/>
              <w:jc w:val="center"/>
              <w:rPr>
                <w:szCs w:val="24"/>
              </w:rPr>
            </w:pPr>
            <w:r>
              <w:rPr>
                <w:szCs w:val="24"/>
              </w:rPr>
              <w:t>1.04</w:t>
            </w:r>
          </w:p>
        </w:tc>
      </w:tr>
      <w:tr w:rsidR="000F16C4" w14:paraId="69DE0152" w14:textId="77777777" w:rsidTr="000972AF">
        <w:trPr>
          <w:jc w:val="center"/>
        </w:trPr>
        <w:tc>
          <w:tcPr>
            <w:tcW w:w="1421" w:type="pct"/>
            <w:tcBorders>
              <w:top w:val="nil"/>
              <w:left w:val="nil"/>
              <w:bottom w:val="nil"/>
              <w:right w:val="nil"/>
            </w:tcBorders>
          </w:tcPr>
          <w:p w14:paraId="177A7054" w14:textId="77777777" w:rsidR="000F16C4" w:rsidRDefault="000F16C4" w:rsidP="000972AF">
            <w:pPr>
              <w:widowControl w:val="0"/>
              <w:autoSpaceDE w:val="0"/>
              <w:autoSpaceDN w:val="0"/>
              <w:adjustRightInd w:val="0"/>
              <w:spacing w:after="0" w:line="240" w:lineRule="auto"/>
              <w:rPr>
                <w:szCs w:val="24"/>
              </w:rPr>
            </w:pPr>
          </w:p>
        </w:tc>
        <w:tc>
          <w:tcPr>
            <w:tcW w:w="701" w:type="pct"/>
            <w:tcBorders>
              <w:top w:val="nil"/>
              <w:left w:val="nil"/>
              <w:bottom w:val="nil"/>
              <w:right w:val="nil"/>
            </w:tcBorders>
          </w:tcPr>
          <w:p w14:paraId="4F33FF76" w14:textId="77777777" w:rsidR="000F16C4" w:rsidRDefault="000F16C4" w:rsidP="000972AF">
            <w:pPr>
              <w:widowControl w:val="0"/>
              <w:autoSpaceDE w:val="0"/>
              <w:autoSpaceDN w:val="0"/>
              <w:adjustRightInd w:val="0"/>
              <w:spacing w:after="0" w:line="240" w:lineRule="auto"/>
              <w:jc w:val="center"/>
              <w:rPr>
                <w:szCs w:val="24"/>
              </w:rPr>
            </w:pPr>
            <w:r>
              <w:rPr>
                <w:szCs w:val="24"/>
              </w:rPr>
              <w:t>(0.13)</w:t>
            </w:r>
          </w:p>
        </w:tc>
        <w:tc>
          <w:tcPr>
            <w:tcW w:w="751" w:type="pct"/>
            <w:tcBorders>
              <w:top w:val="nil"/>
              <w:left w:val="nil"/>
              <w:bottom w:val="nil"/>
              <w:right w:val="nil"/>
            </w:tcBorders>
          </w:tcPr>
          <w:p w14:paraId="18DC2D82" w14:textId="77777777" w:rsidR="000F16C4" w:rsidRDefault="000F16C4" w:rsidP="000972AF">
            <w:pPr>
              <w:widowControl w:val="0"/>
              <w:autoSpaceDE w:val="0"/>
              <w:autoSpaceDN w:val="0"/>
              <w:adjustRightInd w:val="0"/>
              <w:spacing w:after="0" w:line="240" w:lineRule="auto"/>
              <w:jc w:val="center"/>
              <w:rPr>
                <w:szCs w:val="24"/>
              </w:rPr>
            </w:pPr>
            <w:r>
              <w:rPr>
                <w:szCs w:val="24"/>
              </w:rPr>
              <w:t>(0.14)</w:t>
            </w:r>
          </w:p>
        </w:tc>
        <w:tc>
          <w:tcPr>
            <w:tcW w:w="701" w:type="pct"/>
            <w:tcBorders>
              <w:top w:val="nil"/>
              <w:left w:val="nil"/>
              <w:bottom w:val="nil"/>
              <w:right w:val="nil"/>
            </w:tcBorders>
          </w:tcPr>
          <w:p w14:paraId="51CA8D52" w14:textId="77777777" w:rsidR="000F16C4" w:rsidRDefault="000F16C4" w:rsidP="000972AF">
            <w:pPr>
              <w:widowControl w:val="0"/>
              <w:autoSpaceDE w:val="0"/>
              <w:autoSpaceDN w:val="0"/>
              <w:adjustRightInd w:val="0"/>
              <w:spacing w:after="0" w:line="240" w:lineRule="auto"/>
              <w:jc w:val="center"/>
              <w:rPr>
                <w:szCs w:val="24"/>
              </w:rPr>
            </w:pPr>
            <w:r>
              <w:rPr>
                <w:szCs w:val="24"/>
              </w:rPr>
              <w:t>(0.11)</w:t>
            </w:r>
          </w:p>
        </w:tc>
        <w:tc>
          <w:tcPr>
            <w:tcW w:w="726" w:type="pct"/>
            <w:tcBorders>
              <w:top w:val="nil"/>
              <w:left w:val="nil"/>
              <w:bottom w:val="nil"/>
              <w:right w:val="nil"/>
            </w:tcBorders>
          </w:tcPr>
          <w:p w14:paraId="629C6C5C" w14:textId="77777777" w:rsidR="000F16C4" w:rsidRDefault="000F16C4" w:rsidP="000972AF">
            <w:pPr>
              <w:widowControl w:val="0"/>
              <w:autoSpaceDE w:val="0"/>
              <w:autoSpaceDN w:val="0"/>
              <w:adjustRightInd w:val="0"/>
              <w:spacing w:after="0" w:line="240" w:lineRule="auto"/>
              <w:jc w:val="center"/>
              <w:rPr>
                <w:szCs w:val="24"/>
              </w:rPr>
            </w:pPr>
            <w:r>
              <w:rPr>
                <w:szCs w:val="24"/>
              </w:rPr>
              <w:t>(0.12)</w:t>
            </w:r>
          </w:p>
        </w:tc>
        <w:tc>
          <w:tcPr>
            <w:tcW w:w="699" w:type="pct"/>
            <w:tcBorders>
              <w:top w:val="nil"/>
              <w:left w:val="nil"/>
              <w:bottom w:val="nil"/>
              <w:right w:val="nil"/>
            </w:tcBorders>
          </w:tcPr>
          <w:p w14:paraId="25F60301" w14:textId="77777777" w:rsidR="000F16C4" w:rsidRDefault="000F16C4" w:rsidP="000972AF">
            <w:pPr>
              <w:widowControl w:val="0"/>
              <w:autoSpaceDE w:val="0"/>
              <w:autoSpaceDN w:val="0"/>
              <w:adjustRightInd w:val="0"/>
              <w:spacing w:after="0" w:line="240" w:lineRule="auto"/>
              <w:jc w:val="center"/>
              <w:rPr>
                <w:szCs w:val="24"/>
              </w:rPr>
            </w:pPr>
            <w:r>
              <w:rPr>
                <w:szCs w:val="24"/>
              </w:rPr>
              <w:t>(0.11)</w:t>
            </w:r>
          </w:p>
        </w:tc>
      </w:tr>
      <w:tr w:rsidR="000F16C4" w14:paraId="626FE320" w14:textId="77777777" w:rsidTr="000972AF">
        <w:trPr>
          <w:jc w:val="center"/>
        </w:trPr>
        <w:tc>
          <w:tcPr>
            <w:tcW w:w="1421" w:type="pct"/>
            <w:tcBorders>
              <w:top w:val="nil"/>
              <w:left w:val="nil"/>
              <w:bottom w:val="nil"/>
              <w:right w:val="nil"/>
            </w:tcBorders>
          </w:tcPr>
          <w:p w14:paraId="04E59D54" w14:textId="77777777" w:rsidR="000F16C4" w:rsidRDefault="000F16C4" w:rsidP="000972AF">
            <w:pPr>
              <w:widowControl w:val="0"/>
              <w:autoSpaceDE w:val="0"/>
              <w:autoSpaceDN w:val="0"/>
              <w:adjustRightInd w:val="0"/>
              <w:spacing w:after="0" w:line="240" w:lineRule="auto"/>
              <w:rPr>
                <w:szCs w:val="24"/>
              </w:rPr>
            </w:pPr>
            <w:r>
              <w:rPr>
                <w:szCs w:val="24"/>
              </w:rPr>
              <w:t>Big city</w:t>
            </w:r>
          </w:p>
        </w:tc>
        <w:tc>
          <w:tcPr>
            <w:tcW w:w="701" w:type="pct"/>
            <w:tcBorders>
              <w:top w:val="nil"/>
              <w:left w:val="nil"/>
              <w:bottom w:val="nil"/>
              <w:right w:val="nil"/>
            </w:tcBorders>
          </w:tcPr>
          <w:p w14:paraId="77D160A0" w14:textId="77777777" w:rsidR="000F16C4" w:rsidRDefault="000F16C4" w:rsidP="000972AF">
            <w:pPr>
              <w:widowControl w:val="0"/>
              <w:autoSpaceDE w:val="0"/>
              <w:autoSpaceDN w:val="0"/>
              <w:adjustRightInd w:val="0"/>
              <w:spacing w:after="0" w:line="240" w:lineRule="auto"/>
              <w:jc w:val="center"/>
              <w:rPr>
                <w:szCs w:val="24"/>
              </w:rPr>
            </w:pPr>
            <w:r>
              <w:rPr>
                <w:szCs w:val="24"/>
              </w:rPr>
              <w:t>1.23+</w:t>
            </w:r>
          </w:p>
        </w:tc>
        <w:tc>
          <w:tcPr>
            <w:tcW w:w="751" w:type="pct"/>
            <w:tcBorders>
              <w:top w:val="nil"/>
              <w:left w:val="nil"/>
              <w:bottom w:val="nil"/>
              <w:right w:val="nil"/>
            </w:tcBorders>
          </w:tcPr>
          <w:p w14:paraId="3674D469" w14:textId="77777777" w:rsidR="000F16C4" w:rsidRDefault="000F16C4" w:rsidP="000972AF">
            <w:pPr>
              <w:widowControl w:val="0"/>
              <w:autoSpaceDE w:val="0"/>
              <w:autoSpaceDN w:val="0"/>
              <w:adjustRightInd w:val="0"/>
              <w:spacing w:after="0" w:line="240" w:lineRule="auto"/>
              <w:jc w:val="center"/>
              <w:rPr>
                <w:szCs w:val="24"/>
              </w:rPr>
            </w:pPr>
            <w:r>
              <w:rPr>
                <w:szCs w:val="24"/>
              </w:rPr>
              <w:t>1.22</w:t>
            </w:r>
          </w:p>
        </w:tc>
        <w:tc>
          <w:tcPr>
            <w:tcW w:w="701" w:type="pct"/>
            <w:tcBorders>
              <w:top w:val="nil"/>
              <w:left w:val="nil"/>
              <w:bottom w:val="nil"/>
              <w:right w:val="nil"/>
            </w:tcBorders>
          </w:tcPr>
          <w:p w14:paraId="3B058468" w14:textId="77777777" w:rsidR="000F16C4" w:rsidRDefault="000F16C4" w:rsidP="000972AF">
            <w:pPr>
              <w:widowControl w:val="0"/>
              <w:autoSpaceDE w:val="0"/>
              <w:autoSpaceDN w:val="0"/>
              <w:adjustRightInd w:val="0"/>
              <w:spacing w:after="0" w:line="240" w:lineRule="auto"/>
              <w:jc w:val="center"/>
              <w:rPr>
                <w:szCs w:val="24"/>
              </w:rPr>
            </w:pPr>
            <w:r>
              <w:rPr>
                <w:szCs w:val="24"/>
              </w:rPr>
              <w:t>0.88</w:t>
            </w:r>
          </w:p>
        </w:tc>
        <w:tc>
          <w:tcPr>
            <w:tcW w:w="726" w:type="pct"/>
            <w:tcBorders>
              <w:top w:val="nil"/>
              <w:left w:val="nil"/>
              <w:bottom w:val="nil"/>
              <w:right w:val="nil"/>
            </w:tcBorders>
          </w:tcPr>
          <w:p w14:paraId="5DB54F77" w14:textId="77777777" w:rsidR="000F16C4" w:rsidRDefault="000F16C4" w:rsidP="000972AF">
            <w:pPr>
              <w:widowControl w:val="0"/>
              <w:autoSpaceDE w:val="0"/>
              <w:autoSpaceDN w:val="0"/>
              <w:adjustRightInd w:val="0"/>
              <w:spacing w:after="0" w:line="240" w:lineRule="auto"/>
              <w:jc w:val="center"/>
              <w:rPr>
                <w:szCs w:val="24"/>
              </w:rPr>
            </w:pPr>
            <w:r>
              <w:rPr>
                <w:szCs w:val="24"/>
              </w:rPr>
              <w:t>0.93</w:t>
            </w:r>
          </w:p>
        </w:tc>
        <w:tc>
          <w:tcPr>
            <w:tcW w:w="699" w:type="pct"/>
            <w:tcBorders>
              <w:top w:val="nil"/>
              <w:left w:val="nil"/>
              <w:bottom w:val="nil"/>
              <w:right w:val="nil"/>
            </w:tcBorders>
          </w:tcPr>
          <w:p w14:paraId="0FB65F3A" w14:textId="77777777" w:rsidR="000F16C4" w:rsidRDefault="000F16C4" w:rsidP="000972AF">
            <w:pPr>
              <w:widowControl w:val="0"/>
              <w:autoSpaceDE w:val="0"/>
              <w:autoSpaceDN w:val="0"/>
              <w:adjustRightInd w:val="0"/>
              <w:spacing w:after="0" w:line="240" w:lineRule="auto"/>
              <w:jc w:val="center"/>
              <w:rPr>
                <w:szCs w:val="24"/>
              </w:rPr>
            </w:pPr>
            <w:r>
              <w:rPr>
                <w:szCs w:val="24"/>
              </w:rPr>
              <w:t>1.00</w:t>
            </w:r>
          </w:p>
        </w:tc>
      </w:tr>
      <w:tr w:rsidR="000F16C4" w14:paraId="6837342A" w14:textId="77777777" w:rsidTr="000972AF">
        <w:trPr>
          <w:jc w:val="center"/>
        </w:trPr>
        <w:tc>
          <w:tcPr>
            <w:tcW w:w="1421" w:type="pct"/>
            <w:tcBorders>
              <w:top w:val="nil"/>
              <w:left w:val="nil"/>
              <w:bottom w:val="nil"/>
              <w:right w:val="nil"/>
            </w:tcBorders>
          </w:tcPr>
          <w:p w14:paraId="79691F29" w14:textId="77777777" w:rsidR="000F16C4" w:rsidRDefault="000F16C4" w:rsidP="000972AF">
            <w:pPr>
              <w:widowControl w:val="0"/>
              <w:autoSpaceDE w:val="0"/>
              <w:autoSpaceDN w:val="0"/>
              <w:adjustRightInd w:val="0"/>
              <w:spacing w:after="0" w:line="240" w:lineRule="auto"/>
              <w:rPr>
                <w:szCs w:val="24"/>
              </w:rPr>
            </w:pPr>
          </w:p>
        </w:tc>
        <w:tc>
          <w:tcPr>
            <w:tcW w:w="701" w:type="pct"/>
            <w:tcBorders>
              <w:top w:val="nil"/>
              <w:left w:val="nil"/>
              <w:bottom w:val="nil"/>
              <w:right w:val="nil"/>
            </w:tcBorders>
          </w:tcPr>
          <w:p w14:paraId="50DD4E3F" w14:textId="77777777" w:rsidR="000F16C4" w:rsidRDefault="000F16C4" w:rsidP="000972AF">
            <w:pPr>
              <w:widowControl w:val="0"/>
              <w:autoSpaceDE w:val="0"/>
              <w:autoSpaceDN w:val="0"/>
              <w:adjustRightInd w:val="0"/>
              <w:spacing w:after="0" w:line="240" w:lineRule="auto"/>
              <w:jc w:val="center"/>
              <w:rPr>
                <w:szCs w:val="24"/>
              </w:rPr>
            </w:pPr>
            <w:r>
              <w:rPr>
                <w:szCs w:val="24"/>
              </w:rPr>
              <w:t>(0.14)</w:t>
            </w:r>
          </w:p>
        </w:tc>
        <w:tc>
          <w:tcPr>
            <w:tcW w:w="751" w:type="pct"/>
            <w:tcBorders>
              <w:top w:val="nil"/>
              <w:left w:val="nil"/>
              <w:bottom w:val="nil"/>
              <w:right w:val="nil"/>
            </w:tcBorders>
          </w:tcPr>
          <w:p w14:paraId="550FA585" w14:textId="77777777" w:rsidR="000F16C4" w:rsidRDefault="000F16C4" w:rsidP="000972AF">
            <w:pPr>
              <w:widowControl w:val="0"/>
              <w:autoSpaceDE w:val="0"/>
              <w:autoSpaceDN w:val="0"/>
              <w:adjustRightInd w:val="0"/>
              <w:spacing w:after="0" w:line="240" w:lineRule="auto"/>
              <w:jc w:val="center"/>
              <w:rPr>
                <w:szCs w:val="24"/>
              </w:rPr>
            </w:pPr>
            <w:r>
              <w:rPr>
                <w:szCs w:val="24"/>
              </w:rPr>
              <w:t>(0.15)</w:t>
            </w:r>
          </w:p>
        </w:tc>
        <w:tc>
          <w:tcPr>
            <w:tcW w:w="701" w:type="pct"/>
            <w:tcBorders>
              <w:top w:val="nil"/>
              <w:left w:val="nil"/>
              <w:bottom w:val="nil"/>
              <w:right w:val="nil"/>
            </w:tcBorders>
          </w:tcPr>
          <w:p w14:paraId="544DC8F7" w14:textId="77777777" w:rsidR="000F16C4" w:rsidRDefault="000F16C4" w:rsidP="000972AF">
            <w:pPr>
              <w:widowControl w:val="0"/>
              <w:autoSpaceDE w:val="0"/>
              <w:autoSpaceDN w:val="0"/>
              <w:adjustRightInd w:val="0"/>
              <w:spacing w:after="0" w:line="240" w:lineRule="auto"/>
              <w:jc w:val="center"/>
              <w:rPr>
                <w:szCs w:val="24"/>
              </w:rPr>
            </w:pPr>
            <w:r>
              <w:rPr>
                <w:szCs w:val="24"/>
              </w:rPr>
              <w:t>(0.10)</w:t>
            </w:r>
          </w:p>
        </w:tc>
        <w:tc>
          <w:tcPr>
            <w:tcW w:w="726" w:type="pct"/>
            <w:tcBorders>
              <w:top w:val="nil"/>
              <w:left w:val="nil"/>
              <w:bottom w:val="nil"/>
              <w:right w:val="nil"/>
            </w:tcBorders>
          </w:tcPr>
          <w:p w14:paraId="472389EA" w14:textId="77777777" w:rsidR="000F16C4" w:rsidRDefault="000F16C4" w:rsidP="000972AF">
            <w:pPr>
              <w:widowControl w:val="0"/>
              <w:autoSpaceDE w:val="0"/>
              <w:autoSpaceDN w:val="0"/>
              <w:adjustRightInd w:val="0"/>
              <w:spacing w:after="0" w:line="240" w:lineRule="auto"/>
              <w:jc w:val="center"/>
              <w:rPr>
                <w:szCs w:val="24"/>
              </w:rPr>
            </w:pPr>
            <w:r>
              <w:rPr>
                <w:szCs w:val="24"/>
              </w:rPr>
              <w:t>(0.11)</w:t>
            </w:r>
          </w:p>
        </w:tc>
        <w:tc>
          <w:tcPr>
            <w:tcW w:w="699" w:type="pct"/>
            <w:tcBorders>
              <w:top w:val="nil"/>
              <w:left w:val="nil"/>
              <w:bottom w:val="nil"/>
              <w:right w:val="nil"/>
            </w:tcBorders>
          </w:tcPr>
          <w:p w14:paraId="396EBC36" w14:textId="77777777" w:rsidR="000F16C4" w:rsidRDefault="000F16C4" w:rsidP="000972AF">
            <w:pPr>
              <w:widowControl w:val="0"/>
              <w:autoSpaceDE w:val="0"/>
              <w:autoSpaceDN w:val="0"/>
              <w:adjustRightInd w:val="0"/>
              <w:spacing w:after="0" w:line="240" w:lineRule="auto"/>
              <w:jc w:val="center"/>
              <w:rPr>
                <w:szCs w:val="24"/>
              </w:rPr>
            </w:pPr>
            <w:r>
              <w:rPr>
                <w:szCs w:val="24"/>
              </w:rPr>
              <w:t>(0.11)</w:t>
            </w:r>
          </w:p>
        </w:tc>
      </w:tr>
      <w:tr w:rsidR="000F16C4" w14:paraId="0E57908B" w14:textId="77777777" w:rsidTr="000972AF">
        <w:trPr>
          <w:jc w:val="center"/>
        </w:trPr>
        <w:tc>
          <w:tcPr>
            <w:tcW w:w="1421" w:type="pct"/>
            <w:vMerge w:val="restart"/>
            <w:tcBorders>
              <w:top w:val="nil"/>
              <w:left w:val="nil"/>
              <w:right w:val="nil"/>
            </w:tcBorders>
          </w:tcPr>
          <w:p w14:paraId="28D91337" w14:textId="77777777" w:rsidR="000F16C4" w:rsidRDefault="000F16C4" w:rsidP="000972AF">
            <w:pPr>
              <w:widowControl w:val="0"/>
              <w:autoSpaceDE w:val="0"/>
              <w:autoSpaceDN w:val="0"/>
              <w:adjustRightInd w:val="0"/>
              <w:spacing w:after="0" w:line="240" w:lineRule="auto"/>
              <w:rPr>
                <w:szCs w:val="24"/>
              </w:rPr>
            </w:pPr>
            <w:r>
              <w:rPr>
                <w:szCs w:val="24"/>
              </w:rPr>
              <w:t>Log R&amp;D expenditure</w:t>
            </w:r>
          </w:p>
        </w:tc>
        <w:tc>
          <w:tcPr>
            <w:tcW w:w="701" w:type="pct"/>
            <w:tcBorders>
              <w:top w:val="nil"/>
              <w:left w:val="nil"/>
              <w:bottom w:val="nil"/>
              <w:right w:val="nil"/>
            </w:tcBorders>
          </w:tcPr>
          <w:p w14:paraId="2AC2E44C" w14:textId="77777777" w:rsidR="000F16C4" w:rsidRDefault="000F16C4" w:rsidP="000972AF">
            <w:pPr>
              <w:widowControl w:val="0"/>
              <w:autoSpaceDE w:val="0"/>
              <w:autoSpaceDN w:val="0"/>
              <w:adjustRightInd w:val="0"/>
              <w:spacing w:after="0" w:line="240" w:lineRule="auto"/>
              <w:jc w:val="center"/>
              <w:rPr>
                <w:szCs w:val="24"/>
              </w:rPr>
            </w:pPr>
            <w:r>
              <w:rPr>
                <w:szCs w:val="24"/>
              </w:rPr>
              <w:t>1.21***</w:t>
            </w:r>
          </w:p>
        </w:tc>
        <w:tc>
          <w:tcPr>
            <w:tcW w:w="751" w:type="pct"/>
            <w:tcBorders>
              <w:top w:val="nil"/>
              <w:left w:val="nil"/>
              <w:bottom w:val="nil"/>
              <w:right w:val="nil"/>
            </w:tcBorders>
          </w:tcPr>
          <w:p w14:paraId="11BCFDBF" w14:textId="77777777" w:rsidR="000F16C4" w:rsidRDefault="000F16C4" w:rsidP="000972AF">
            <w:pPr>
              <w:widowControl w:val="0"/>
              <w:autoSpaceDE w:val="0"/>
              <w:autoSpaceDN w:val="0"/>
              <w:adjustRightInd w:val="0"/>
              <w:spacing w:after="0" w:line="240" w:lineRule="auto"/>
              <w:jc w:val="center"/>
              <w:rPr>
                <w:szCs w:val="24"/>
              </w:rPr>
            </w:pPr>
            <w:r>
              <w:rPr>
                <w:szCs w:val="24"/>
              </w:rPr>
              <w:t>1.23***</w:t>
            </w:r>
          </w:p>
        </w:tc>
        <w:tc>
          <w:tcPr>
            <w:tcW w:w="701" w:type="pct"/>
            <w:tcBorders>
              <w:top w:val="nil"/>
              <w:left w:val="nil"/>
              <w:bottom w:val="nil"/>
              <w:right w:val="nil"/>
            </w:tcBorders>
          </w:tcPr>
          <w:p w14:paraId="1A5F3C77" w14:textId="77777777" w:rsidR="000F16C4" w:rsidRDefault="000F16C4" w:rsidP="000972AF">
            <w:pPr>
              <w:widowControl w:val="0"/>
              <w:autoSpaceDE w:val="0"/>
              <w:autoSpaceDN w:val="0"/>
              <w:adjustRightInd w:val="0"/>
              <w:spacing w:after="0" w:line="240" w:lineRule="auto"/>
              <w:jc w:val="center"/>
              <w:rPr>
                <w:szCs w:val="24"/>
              </w:rPr>
            </w:pPr>
            <w:r>
              <w:rPr>
                <w:szCs w:val="24"/>
              </w:rPr>
              <w:t>1.16***</w:t>
            </w:r>
          </w:p>
        </w:tc>
        <w:tc>
          <w:tcPr>
            <w:tcW w:w="726" w:type="pct"/>
            <w:tcBorders>
              <w:top w:val="nil"/>
              <w:left w:val="nil"/>
              <w:bottom w:val="nil"/>
              <w:right w:val="nil"/>
            </w:tcBorders>
          </w:tcPr>
          <w:p w14:paraId="529F5DEC" w14:textId="77777777" w:rsidR="000F16C4" w:rsidRDefault="000F16C4" w:rsidP="000972AF">
            <w:pPr>
              <w:widowControl w:val="0"/>
              <w:autoSpaceDE w:val="0"/>
              <w:autoSpaceDN w:val="0"/>
              <w:adjustRightInd w:val="0"/>
              <w:spacing w:after="0" w:line="240" w:lineRule="auto"/>
              <w:jc w:val="center"/>
              <w:rPr>
                <w:szCs w:val="24"/>
              </w:rPr>
            </w:pPr>
            <w:r>
              <w:rPr>
                <w:szCs w:val="24"/>
              </w:rPr>
              <w:t>1.09***</w:t>
            </w:r>
          </w:p>
        </w:tc>
        <w:tc>
          <w:tcPr>
            <w:tcW w:w="699" w:type="pct"/>
            <w:tcBorders>
              <w:top w:val="nil"/>
              <w:left w:val="nil"/>
              <w:bottom w:val="nil"/>
              <w:right w:val="nil"/>
            </w:tcBorders>
          </w:tcPr>
          <w:p w14:paraId="46E30585" w14:textId="77777777" w:rsidR="000F16C4" w:rsidRDefault="000F16C4" w:rsidP="000972AF">
            <w:pPr>
              <w:widowControl w:val="0"/>
              <w:autoSpaceDE w:val="0"/>
              <w:autoSpaceDN w:val="0"/>
              <w:adjustRightInd w:val="0"/>
              <w:spacing w:after="0" w:line="240" w:lineRule="auto"/>
              <w:jc w:val="center"/>
              <w:rPr>
                <w:szCs w:val="24"/>
              </w:rPr>
            </w:pPr>
            <w:r>
              <w:rPr>
                <w:szCs w:val="24"/>
              </w:rPr>
              <w:t>1.11***</w:t>
            </w:r>
          </w:p>
        </w:tc>
      </w:tr>
      <w:tr w:rsidR="000F16C4" w14:paraId="53586788" w14:textId="77777777" w:rsidTr="000972AF">
        <w:trPr>
          <w:jc w:val="center"/>
        </w:trPr>
        <w:tc>
          <w:tcPr>
            <w:tcW w:w="1421" w:type="pct"/>
            <w:vMerge/>
            <w:tcBorders>
              <w:left w:val="nil"/>
              <w:bottom w:val="nil"/>
              <w:right w:val="nil"/>
            </w:tcBorders>
          </w:tcPr>
          <w:p w14:paraId="5050D413" w14:textId="77777777" w:rsidR="000F16C4" w:rsidRDefault="000F16C4" w:rsidP="000972AF">
            <w:pPr>
              <w:widowControl w:val="0"/>
              <w:autoSpaceDE w:val="0"/>
              <w:autoSpaceDN w:val="0"/>
              <w:adjustRightInd w:val="0"/>
              <w:spacing w:after="0" w:line="240" w:lineRule="auto"/>
              <w:rPr>
                <w:szCs w:val="24"/>
              </w:rPr>
            </w:pPr>
          </w:p>
        </w:tc>
        <w:tc>
          <w:tcPr>
            <w:tcW w:w="701" w:type="pct"/>
            <w:tcBorders>
              <w:top w:val="nil"/>
              <w:left w:val="nil"/>
              <w:bottom w:val="nil"/>
              <w:right w:val="nil"/>
            </w:tcBorders>
          </w:tcPr>
          <w:p w14:paraId="47E4C3DB" w14:textId="77777777" w:rsidR="000F16C4" w:rsidRDefault="000F16C4" w:rsidP="000972AF">
            <w:pPr>
              <w:widowControl w:val="0"/>
              <w:autoSpaceDE w:val="0"/>
              <w:autoSpaceDN w:val="0"/>
              <w:adjustRightInd w:val="0"/>
              <w:spacing w:after="0" w:line="240" w:lineRule="auto"/>
              <w:jc w:val="center"/>
              <w:rPr>
                <w:szCs w:val="24"/>
              </w:rPr>
            </w:pPr>
            <w:r>
              <w:rPr>
                <w:szCs w:val="24"/>
              </w:rPr>
              <w:t>(0.01)</w:t>
            </w:r>
          </w:p>
        </w:tc>
        <w:tc>
          <w:tcPr>
            <w:tcW w:w="751" w:type="pct"/>
            <w:tcBorders>
              <w:top w:val="nil"/>
              <w:left w:val="nil"/>
              <w:bottom w:val="nil"/>
              <w:right w:val="nil"/>
            </w:tcBorders>
          </w:tcPr>
          <w:p w14:paraId="2E3A7211" w14:textId="77777777" w:rsidR="000F16C4" w:rsidRDefault="000F16C4" w:rsidP="000972AF">
            <w:pPr>
              <w:widowControl w:val="0"/>
              <w:autoSpaceDE w:val="0"/>
              <w:autoSpaceDN w:val="0"/>
              <w:adjustRightInd w:val="0"/>
              <w:spacing w:after="0" w:line="240" w:lineRule="auto"/>
              <w:jc w:val="center"/>
              <w:rPr>
                <w:szCs w:val="24"/>
              </w:rPr>
            </w:pPr>
            <w:r>
              <w:rPr>
                <w:szCs w:val="24"/>
              </w:rPr>
              <w:t>(0.02)</w:t>
            </w:r>
          </w:p>
        </w:tc>
        <w:tc>
          <w:tcPr>
            <w:tcW w:w="701" w:type="pct"/>
            <w:tcBorders>
              <w:top w:val="nil"/>
              <w:left w:val="nil"/>
              <w:bottom w:val="nil"/>
              <w:right w:val="nil"/>
            </w:tcBorders>
          </w:tcPr>
          <w:p w14:paraId="1336B0EC" w14:textId="77777777" w:rsidR="000F16C4" w:rsidRDefault="000F16C4" w:rsidP="000972AF">
            <w:pPr>
              <w:widowControl w:val="0"/>
              <w:autoSpaceDE w:val="0"/>
              <w:autoSpaceDN w:val="0"/>
              <w:adjustRightInd w:val="0"/>
              <w:spacing w:after="0" w:line="240" w:lineRule="auto"/>
              <w:jc w:val="center"/>
              <w:rPr>
                <w:szCs w:val="24"/>
              </w:rPr>
            </w:pPr>
            <w:r>
              <w:rPr>
                <w:szCs w:val="24"/>
              </w:rPr>
              <w:t>(0.01)</w:t>
            </w:r>
          </w:p>
        </w:tc>
        <w:tc>
          <w:tcPr>
            <w:tcW w:w="726" w:type="pct"/>
            <w:tcBorders>
              <w:top w:val="nil"/>
              <w:left w:val="nil"/>
              <w:bottom w:val="nil"/>
              <w:right w:val="nil"/>
            </w:tcBorders>
          </w:tcPr>
          <w:p w14:paraId="342E10CC" w14:textId="77777777" w:rsidR="000F16C4" w:rsidRDefault="000F16C4" w:rsidP="000972AF">
            <w:pPr>
              <w:widowControl w:val="0"/>
              <w:autoSpaceDE w:val="0"/>
              <w:autoSpaceDN w:val="0"/>
              <w:adjustRightInd w:val="0"/>
              <w:spacing w:after="0" w:line="240" w:lineRule="auto"/>
              <w:jc w:val="center"/>
              <w:rPr>
                <w:szCs w:val="24"/>
              </w:rPr>
            </w:pPr>
            <w:r>
              <w:rPr>
                <w:szCs w:val="24"/>
              </w:rPr>
              <w:t>(0.01)</w:t>
            </w:r>
          </w:p>
        </w:tc>
        <w:tc>
          <w:tcPr>
            <w:tcW w:w="699" w:type="pct"/>
            <w:tcBorders>
              <w:top w:val="nil"/>
              <w:left w:val="nil"/>
              <w:bottom w:val="nil"/>
              <w:right w:val="nil"/>
            </w:tcBorders>
          </w:tcPr>
          <w:p w14:paraId="66472B63" w14:textId="77777777" w:rsidR="000F16C4" w:rsidRDefault="000F16C4" w:rsidP="000972AF">
            <w:pPr>
              <w:widowControl w:val="0"/>
              <w:autoSpaceDE w:val="0"/>
              <w:autoSpaceDN w:val="0"/>
              <w:adjustRightInd w:val="0"/>
              <w:spacing w:after="0" w:line="240" w:lineRule="auto"/>
              <w:jc w:val="center"/>
              <w:rPr>
                <w:szCs w:val="24"/>
              </w:rPr>
            </w:pPr>
            <w:r>
              <w:rPr>
                <w:szCs w:val="24"/>
              </w:rPr>
              <w:t>(0.01)</w:t>
            </w:r>
          </w:p>
        </w:tc>
      </w:tr>
      <w:tr w:rsidR="000F16C4" w14:paraId="139D5E28" w14:textId="77777777" w:rsidTr="000972AF">
        <w:trPr>
          <w:jc w:val="center"/>
        </w:trPr>
        <w:tc>
          <w:tcPr>
            <w:tcW w:w="1421" w:type="pct"/>
            <w:vMerge w:val="restart"/>
            <w:tcBorders>
              <w:top w:val="nil"/>
              <w:left w:val="nil"/>
              <w:right w:val="nil"/>
            </w:tcBorders>
          </w:tcPr>
          <w:p w14:paraId="01889BD6" w14:textId="77777777" w:rsidR="000F16C4" w:rsidRDefault="000F16C4" w:rsidP="000972AF">
            <w:pPr>
              <w:widowControl w:val="0"/>
              <w:autoSpaceDE w:val="0"/>
              <w:autoSpaceDN w:val="0"/>
              <w:adjustRightInd w:val="0"/>
              <w:spacing w:after="0" w:line="240" w:lineRule="auto"/>
              <w:rPr>
                <w:szCs w:val="24"/>
              </w:rPr>
            </w:pPr>
            <w:r>
              <w:rPr>
                <w:szCs w:val="24"/>
              </w:rPr>
              <w:t>Log no. of employees</w:t>
            </w:r>
          </w:p>
        </w:tc>
        <w:tc>
          <w:tcPr>
            <w:tcW w:w="701" w:type="pct"/>
            <w:tcBorders>
              <w:top w:val="nil"/>
              <w:left w:val="nil"/>
              <w:bottom w:val="nil"/>
              <w:right w:val="nil"/>
            </w:tcBorders>
          </w:tcPr>
          <w:p w14:paraId="70CF0288" w14:textId="77777777" w:rsidR="000F16C4" w:rsidRDefault="000F16C4" w:rsidP="000972AF">
            <w:pPr>
              <w:widowControl w:val="0"/>
              <w:autoSpaceDE w:val="0"/>
              <w:autoSpaceDN w:val="0"/>
              <w:adjustRightInd w:val="0"/>
              <w:spacing w:after="0" w:line="240" w:lineRule="auto"/>
              <w:jc w:val="center"/>
              <w:rPr>
                <w:szCs w:val="24"/>
              </w:rPr>
            </w:pPr>
            <w:r>
              <w:rPr>
                <w:szCs w:val="24"/>
              </w:rPr>
              <w:t>0.99</w:t>
            </w:r>
          </w:p>
        </w:tc>
        <w:tc>
          <w:tcPr>
            <w:tcW w:w="751" w:type="pct"/>
            <w:tcBorders>
              <w:top w:val="nil"/>
              <w:left w:val="nil"/>
              <w:bottom w:val="nil"/>
              <w:right w:val="nil"/>
            </w:tcBorders>
          </w:tcPr>
          <w:p w14:paraId="50A11889" w14:textId="77777777" w:rsidR="000F16C4" w:rsidRDefault="000F16C4" w:rsidP="000972AF">
            <w:pPr>
              <w:widowControl w:val="0"/>
              <w:autoSpaceDE w:val="0"/>
              <w:autoSpaceDN w:val="0"/>
              <w:adjustRightInd w:val="0"/>
              <w:spacing w:after="0" w:line="240" w:lineRule="auto"/>
              <w:jc w:val="center"/>
              <w:rPr>
                <w:szCs w:val="24"/>
              </w:rPr>
            </w:pPr>
            <w:r>
              <w:rPr>
                <w:szCs w:val="24"/>
              </w:rPr>
              <w:t>0.97</w:t>
            </w:r>
          </w:p>
        </w:tc>
        <w:tc>
          <w:tcPr>
            <w:tcW w:w="701" w:type="pct"/>
            <w:tcBorders>
              <w:top w:val="nil"/>
              <w:left w:val="nil"/>
              <w:bottom w:val="nil"/>
              <w:right w:val="nil"/>
            </w:tcBorders>
          </w:tcPr>
          <w:p w14:paraId="4F37322F" w14:textId="77777777" w:rsidR="000F16C4" w:rsidRDefault="000F16C4" w:rsidP="000972AF">
            <w:pPr>
              <w:widowControl w:val="0"/>
              <w:autoSpaceDE w:val="0"/>
              <w:autoSpaceDN w:val="0"/>
              <w:adjustRightInd w:val="0"/>
              <w:spacing w:after="0" w:line="240" w:lineRule="auto"/>
              <w:jc w:val="center"/>
              <w:rPr>
                <w:szCs w:val="24"/>
              </w:rPr>
            </w:pPr>
            <w:r>
              <w:rPr>
                <w:szCs w:val="24"/>
              </w:rPr>
              <w:t>1.04</w:t>
            </w:r>
          </w:p>
        </w:tc>
        <w:tc>
          <w:tcPr>
            <w:tcW w:w="726" w:type="pct"/>
            <w:tcBorders>
              <w:top w:val="nil"/>
              <w:left w:val="nil"/>
              <w:bottom w:val="nil"/>
              <w:right w:val="nil"/>
            </w:tcBorders>
          </w:tcPr>
          <w:p w14:paraId="138D1CEE" w14:textId="77777777" w:rsidR="000F16C4" w:rsidRDefault="000F16C4" w:rsidP="000972AF">
            <w:pPr>
              <w:widowControl w:val="0"/>
              <w:autoSpaceDE w:val="0"/>
              <w:autoSpaceDN w:val="0"/>
              <w:adjustRightInd w:val="0"/>
              <w:spacing w:after="0" w:line="240" w:lineRule="auto"/>
              <w:jc w:val="center"/>
              <w:rPr>
                <w:szCs w:val="24"/>
              </w:rPr>
            </w:pPr>
            <w:r>
              <w:rPr>
                <w:szCs w:val="24"/>
              </w:rPr>
              <w:t>1.22***</w:t>
            </w:r>
          </w:p>
        </w:tc>
        <w:tc>
          <w:tcPr>
            <w:tcW w:w="699" w:type="pct"/>
            <w:tcBorders>
              <w:top w:val="nil"/>
              <w:left w:val="nil"/>
              <w:bottom w:val="nil"/>
              <w:right w:val="nil"/>
            </w:tcBorders>
          </w:tcPr>
          <w:p w14:paraId="279B807F" w14:textId="77777777" w:rsidR="000F16C4" w:rsidRDefault="000F16C4" w:rsidP="000972AF">
            <w:pPr>
              <w:widowControl w:val="0"/>
              <w:autoSpaceDE w:val="0"/>
              <w:autoSpaceDN w:val="0"/>
              <w:adjustRightInd w:val="0"/>
              <w:spacing w:after="0" w:line="240" w:lineRule="auto"/>
              <w:jc w:val="center"/>
              <w:rPr>
                <w:szCs w:val="24"/>
              </w:rPr>
            </w:pPr>
            <w:r>
              <w:rPr>
                <w:szCs w:val="24"/>
              </w:rPr>
              <w:t>1.04</w:t>
            </w:r>
          </w:p>
        </w:tc>
      </w:tr>
      <w:tr w:rsidR="000F16C4" w14:paraId="0B88A3EF" w14:textId="77777777" w:rsidTr="000972AF">
        <w:trPr>
          <w:jc w:val="center"/>
        </w:trPr>
        <w:tc>
          <w:tcPr>
            <w:tcW w:w="1421" w:type="pct"/>
            <w:vMerge/>
            <w:tcBorders>
              <w:left w:val="nil"/>
              <w:bottom w:val="nil"/>
              <w:right w:val="nil"/>
            </w:tcBorders>
          </w:tcPr>
          <w:p w14:paraId="1731EC17" w14:textId="77777777" w:rsidR="000F16C4" w:rsidRDefault="000F16C4" w:rsidP="000972AF">
            <w:pPr>
              <w:widowControl w:val="0"/>
              <w:autoSpaceDE w:val="0"/>
              <w:autoSpaceDN w:val="0"/>
              <w:adjustRightInd w:val="0"/>
              <w:spacing w:after="0" w:line="240" w:lineRule="auto"/>
              <w:rPr>
                <w:szCs w:val="24"/>
              </w:rPr>
            </w:pPr>
          </w:p>
        </w:tc>
        <w:tc>
          <w:tcPr>
            <w:tcW w:w="701" w:type="pct"/>
            <w:tcBorders>
              <w:top w:val="nil"/>
              <w:left w:val="nil"/>
              <w:bottom w:val="nil"/>
              <w:right w:val="nil"/>
            </w:tcBorders>
          </w:tcPr>
          <w:p w14:paraId="713AF3BD"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751" w:type="pct"/>
            <w:tcBorders>
              <w:top w:val="nil"/>
              <w:left w:val="nil"/>
              <w:bottom w:val="nil"/>
              <w:right w:val="nil"/>
            </w:tcBorders>
          </w:tcPr>
          <w:p w14:paraId="7DA57B23"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701" w:type="pct"/>
            <w:tcBorders>
              <w:top w:val="nil"/>
              <w:left w:val="nil"/>
              <w:bottom w:val="nil"/>
              <w:right w:val="nil"/>
            </w:tcBorders>
          </w:tcPr>
          <w:p w14:paraId="5071FA0E"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726" w:type="pct"/>
            <w:tcBorders>
              <w:top w:val="nil"/>
              <w:left w:val="nil"/>
              <w:bottom w:val="nil"/>
              <w:right w:val="nil"/>
            </w:tcBorders>
          </w:tcPr>
          <w:p w14:paraId="3F92CD2B" w14:textId="77777777" w:rsidR="000F16C4" w:rsidRDefault="000F16C4" w:rsidP="000972AF">
            <w:pPr>
              <w:widowControl w:val="0"/>
              <w:autoSpaceDE w:val="0"/>
              <w:autoSpaceDN w:val="0"/>
              <w:adjustRightInd w:val="0"/>
              <w:spacing w:after="0" w:line="240" w:lineRule="auto"/>
              <w:jc w:val="center"/>
              <w:rPr>
                <w:szCs w:val="24"/>
              </w:rPr>
            </w:pPr>
            <w:r>
              <w:rPr>
                <w:szCs w:val="24"/>
              </w:rPr>
              <w:t>(0.04)</w:t>
            </w:r>
          </w:p>
        </w:tc>
        <w:tc>
          <w:tcPr>
            <w:tcW w:w="699" w:type="pct"/>
            <w:tcBorders>
              <w:top w:val="nil"/>
              <w:left w:val="nil"/>
              <w:bottom w:val="nil"/>
              <w:right w:val="nil"/>
            </w:tcBorders>
          </w:tcPr>
          <w:p w14:paraId="7DD5BB8A"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r>
      <w:tr w:rsidR="000F16C4" w14:paraId="2E2AD0D9" w14:textId="77777777" w:rsidTr="000972AF">
        <w:trPr>
          <w:jc w:val="center"/>
        </w:trPr>
        <w:tc>
          <w:tcPr>
            <w:tcW w:w="1421" w:type="pct"/>
            <w:vMerge w:val="restart"/>
            <w:tcBorders>
              <w:top w:val="nil"/>
              <w:left w:val="nil"/>
              <w:right w:val="nil"/>
            </w:tcBorders>
          </w:tcPr>
          <w:p w14:paraId="1405B29C" w14:textId="77777777" w:rsidR="000F16C4" w:rsidRDefault="000F16C4" w:rsidP="000972AF">
            <w:pPr>
              <w:widowControl w:val="0"/>
              <w:autoSpaceDE w:val="0"/>
              <w:autoSpaceDN w:val="0"/>
              <w:adjustRightInd w:val="0"/>
              <w:spacing w:after="0" w:line="240" w:lineRule="auto"/>
              <w:rPr>
                <w:szCs w:val="24"/>
              </w:rPr>
            </w:pPr>
            <w:r>
              <w:rPr>
                <w:szCs w:val="24"/>
              </w:rPr>
              <w:t>Log % of educated employees</w:t>
            </w:r>
          </w:p>
        </w:tc>
        <w:tc>
          <w:tcPr>
            <w:tcW w:w="701" w:type="pct"/>
            <w:tcBorders>
              <w:top w:val="nil"/>
              <w:left w:val="nil"/>
              <w:bottom w:val="nil"/>
              <w:right w:val="nil"/>
            </w:tcBorders>
          </w:tcPr>
          <w:p w14:paraId="39A1D9A6" w14:textId="77777777" w:rsidR="000F16C4" w:rsidRDefault="000F16C4" w:rsidP="000972AF">
            <w:pPr>
              <w:widowControl w:val="0"/>
              <w:autoSpaceDE w:val="0"/>
              <w:autoSpaceDN w:val="0"/>
              <w:adjustRightInd w:val="0"/>
              <w:spacing w:after="0" w:line="240" w:lineRule="auto"/>
              <w:jc w:val="center"/>
              <w:rPr>
                <w:szCs w:val="24"/>
              </w:rPr>
            </w:pPr>
            <w:r>
              <w:rPr>
                <w:szCs w:val="24"/>
              </w:rPr>
              <w:t>2.44**</w:t>
            </w:r>
          </w:p>
        </w:tc>
        <w:tc>
          <w:tcPr>
            <w:tcW w:w="751" w:type="pct"/>
            <w:tcBorders>
              <w:top w:val="nil"/>
              <w:left w:val="nil"/>
              <w:bottom w:val="nil"/>
              <w:right w:val="nil"/>
            </w:tcBorders>
          </w:tcPr>
          <w:p w14:paraId="11277A04" w14:textId="77777777" w:rsidR="000F16C4" w:rsidRDefault="000F16C4" w:rsidP="000972AF">
            <w:pPr>
              <w:widowControl w:val="0"/>
              <w:autoSpaceDE w:val="0"/>
              <w:autoSpaceDN w:val="0"/>
              <w:adjustRightInd w:val="0"/>
              <w:spacing w:after="0" w:line="240" w:lineRule="auto"/>
              <w:jc w:val="center"/>
              <w:rPr>
                <w:szCs w:val="24"/>
              </w:rPr>
            </w:pPr>
            <w:r>
              <w:rPr>
                <w:szCs w:val="24"/>
              </w:rPr>
              <w:t>2.35**</w:t>
            </w:r>
          </w:p>
        </w:tc>
        <w:tc>
          <w:tcPr>
            <w:tcW w:w="701" w:type="pct"/>
            <w:tcBorders>
              <w:top w:val="nil"/>
              <w:left w:val="nil"/>
              <w:bottom w:val="nil"/>
              <w:right w:val="nil"/>
            </w:tcBorders>
          </w:tcPr>
          <w:p w14:paraId="3280B496" w14:textId="77777777" w:rsidR="000F16C4" w:rsidRDefault="000F16C4" w:rsidP="000972AF">
            <w:pPr>
              <w:widowControl w:val="0"/>
              <w:autoSpaceDE w:val="0"/>
              <w:autoSpaceDN w:val="0"/>
              <w:adjustRightInd w:val="0"/>
              <w:spacing w:after="0" w:line="240" w:lineRule="auto"/>
              <w:jc w:val="center"/>
              <w:rPr>
                <w:szCs w:val="24"/>
              </w:rPr>
            </w:pPr>
            <w:r>
              <w:rPr>
                <w:szCs w:val="24"/>
              </w:rPr>
              <w:t>1.58</w:t>
            </w:r>
          </w:p>
        </w:tc>
        <w:tc>
          <w:tcPr>
            <w:tcW w:w="726" w:type="pct"/>
            <w:tcBorders>
              <w:top w:val="nil"/>
              <w:left w:val="nil"/>
              <w:bottom w:val="nil"/>
              <w:right w:val="nil"/>
            </w:tcBorders>
          </w:tcPr>
          <w:p w14:paraId="0E9C9CC3" w14:textId="77777777" w:rsidR="000F16C4" w:rsidRDefault="000F16C4" w:rsidP="000972AF">
            <w:pPr>
              <w:widowControl w:val="0"/>
              <w:autoSpaceDE w:val="0"/>
              <w:autoSpaceDN w:val="0"/>
              <w:adjustRightInd w:val="0"/>
              <w:spacing w:after="0" w:line="240" w:lineRule="auto"/>
              <w:jc w:val="center"/>
              <w:rPr>
                <w:szCs w:val="24"/>
              </w:rPr>
            </w:pPr>
            <w:r>
              <w:rPr>
                <w:szCs w:val="24"/>
              </w:rPr>
              <w:t>1.61</w:t>
            </w:r>
          </w:p>
        </w:tc>
        <w:tc>
          <w:tcPr>
            <w:tcW w:w="699" w:type="pct"/>
            <w:tcBorders>
              <w:top w:val="nil"/>
              <w:left w:val="nil"/>
              <w:bottom w:val="nil"/>
              <w:right w:val="nil"/>
            </w:tcBorders>
          </w:tcPr>
          <w:p w14:paraId="29369625" w14:textId="77777777" w:rsidR="000F16C4" w:rsidRDefault="000F16C4" w:rsidP="000972AF">
            <w:pPr>
              <w:widowControl w:val="0"/>
              <w:autoSpaceDE w:val="0"/>
              <w:autoSpaceDN w:val="0"/>
              <w:adjustRightInd w:val="0"/>
              <w:spacing w:after="0" w:line="240" w:lineRule="auto"/>
              <w:jc w:val="center"/>
              <w:rPr>
                <w:szCs w:val="24"/>
              </w:rPr>
            </w:pPr>
            <w:r>
              <w:rPr>
                <w:szCs w:val="24"/>
              </w:rPr>
              <w:t>1.58</w:t>
            </w:r>
          </w:p>
        </w:tc>
      </w:tr>
      <w:tr w:rsidR="000F16C4" w14:paraId="6A87EAB1" w14:textId="77777777" w:rsidTr="000972AF">
        <w:trPr>
          <w:jc w:val="center"/>
        </w:trPr>
        <w:tc>
          <w:tcPr>
            <w:tcW w:w="1421" w:type="pct"/>
            <w:vMerge/>
            <w:tcBorders>
              <w:left w:val="nil"/>
              <w:bottom w:val="nil"/>
              <w:right w:val="nil"/>
            </w:tcBorders>
          </w:tcPr>
          <w:p w14:paraId="3B9AF2A5" w14:textId="77777777" w:rsidR="000F16C4" w:rsidRDefault="000F16C4" w:rsidP="000972AF">
            <w:pPr>
              <w:widowControl w:val="0"/>
              <w:autoSpaceDE w:val="0"/>
              <w:autoSpaceDN w:val="0"/>
              <w:adjustRightInd w:val="0"/>
              <w:spacing w:after="0" w:line="240" w:lineRule="auto"/>
              <w:rPr>
                <w:szCs w:val="24"/>
              </w:rPr>
            </w:pPr>
          </w:p>
        </w:tc>
        <w:tc>
          <w:tcPr>
            <w:tcW w:w="701" w:type="pct"/>
            <w:tcBorders>
              <w:top w:val="nil"/>
              <w:left w:val="nil"/>
              <w:bottom w:val="nil"/>
              <w:right w:val="nil"/>
            </w:tcBorders>
          </w:tcPr>
          <w:p w14:paraId="425B674D" w14:textId="77777777" w:rsidR="000F16C4" w:rsidRDefault="000F16C4" w:rsidP="000972AF">
            <w:pPr>
              <w:widowControl w:val="0"/>
              <w:autoSpaceDE w:val="0"/>
              <w:autoSpaceDN w:val="0"/>
              <w:adjustRightInd w:val="0"/>
              <w:spacing w:after="0" w:line="240" w:lineRule="auto"/>
              <w:jc w:val="center"/>
              <w:rPr>
                <w:szCs w:val="24"/>
              </w:rPr>
            </w:pPr>
            <w:r>
              <w:rPr>
                <w:szCs w:val="24"/>
              </w:rPr>
              <w:t>(0.75)</w:t>
            </w:r>
          </w:p>
        </w:tc>
        <w:tc>
          <w:tcPr>
            <w:tcW w:w="751" w:type="pct"/>
            <w:tcBorders>
              <w:top w:val="nil"/>
              <w:left w:val="nil"/>
              <w:bottom w:val="nil"/>
              <w:right w:val="nil"/>
            </w:tcBorders>
          </w:tcPr>
          <w:p w14:paraId="4796DA20" w14:textId="77777777" w:rsidR="000F16C4" w:rsidRDefault="000F16C4" w:rsidP="000972AF">
            <w:pPr>
              <w:widowControl w:val="0"/>
              <w:autoSpaceDE w:val="0"/>
              <w:autoSpaceDN w:val="0"/>
              <w:adjustRightInd w:val="0"/>
              <w:spacing w:after="0" w:line="240" w:lineRule="auto"/>
              <w:jc w:val="center"/>
              <w:rPr>
                <w:szCs w:val="24"/>
              </w:rPr>
            </w:pPr>
            <w:r>
              <w:rPr>
                <w:szCs w:val="24"/>
              </w:rPr>
              <w:t>(0.77)</w:t>
            </w:r>
          </w:p>
        </w:tc>
        <w:tc>
          <w:tcPr>
            <w:tcW w:w="701" w:type="pct"/>
            <w:tcBorders>
              <w:top w:val="nil"/>
              <w:left w:val="nil"/>
              <w:bottom w:val="nil"/>
              <w:right w:val="nil"/>
            </w:tcBorders>
          </w:tcPr>
          <w:p w14:paraId="013ADFB6" w14:textId="77777777" w:rsidR="000F16C4" w:rsidRDefault="000F16C4" w:rsidP="000972AF">
            <w:pPr>
              <w:widowControl w:val="0"/>
              <w:autoSpaceDE w:val="0"/>
              <w:autoSpaceDN w:val="0"/>
              <w:adjustRightInd w:val="0"/>
              <w:spacing w:after="0" w:line="240" w:lineRule="auto"/>
              <w:jc w:val="center"/>
              <w:rPr>
                <w:szCs w:val="24"/>
              </w:rPr>
            </w:pPr>
            <w:r>
              <w:rPr>
                <w:szCs w:val="24"/>
              </w:rPr>
              <w:t>(0.48)</w:t>
            </w:r>
          </w:p>
        </w:tc>
        <w:tc>
          <w:tcPr>
            <w:tcW w:w="726" w:type="pct"/>
            <w:tcBorders>
              <w:top w:val="nil"/>
              <w:left w:val="nil"/>
              <w:bottom w:val="nil"/>
              <w:right w:val="nil"/>
            </w:tcBorders>
          </w:tcPr>
          <w:p w14:paraId="4AA4F3AD" w14:textId="77777777" w:rsidR="000F16C4" w:rsidRDefault="000F16C4" w:rsidP="000972AF">
            <w:pPr>
              <w:widowControl w:val="0"/>
              <w:autoSpaceDE w:val="0"/>
              <w:autoSpaceDN w:val="0"/>
              <w:adjustRightInd w:val="0"/>
              <w:spacing w:after="0" w:line="240" w:lineRule="auto"/>
              <w:jc w:val="center"/>
              <w:rPr>
                <w:szCs w:val="24"/>
              </w:rPr>
            </w:pPr>
            <w:r>
              <w:rPr>
                <w:szCs w:val="24"/>
              </w:rPr>
              <w:t>(0.52)</w:t>
            </w:r>
          </w:p>
        </w:tc>
        <w:tc>
          <w:tcPr>
            <w:tcW w:w="699" w:type="pct"/>
            <w:tcBorders>
              <w:top w:val="nil"/>
              <w:left w:val="nil"/>
              <w:bottom w:val="nil"/>
              <w:right w:val="nil"/>
            </w:tcBorders>
          </w:tcPr>
          <w:p w14:paraId="35251448" w14:textId="77777777" w:rsidR="000F16C4" w:rsidRDefault="000F16C4" w:rsidP="000972AF">
            <w:pPr>
              <w:widowControl w:val="0"/>
              <w:autoSpaceDE w:val="0"/>
              <w:autoSpaceDN w:val="0"/>
              <w:adjustRightInd w:val="0"/>
              <w:spacing w:after="0" w:line="240" w:lineRule="auto"/>
              <w:jc w:val="center"/>
              <w:rPr>
                <w:szCs w:val="24"/>
              </w:rPr>
            </w:pPr>
            <w:r>
              <w:rPr>
                <w:szCs w:val="24"/>
              </w:rPr>
              <w:t>(0.49)</w:t>
            </w:r>
          </w:p>
        </w:tc>
      </w:tr>
      <w:tr w:rsidR="000F16C4" w14:paraId="73030EEC" w14:textId="77777777" w:rsidTr="000972AF">
        <w:trPr>
          <w:jc w:val="center"/>
        </w:trPr>
        <w:tc>
          <w:tcPr>
            <w:tcW w:w="1421" w:type="pct"/>
            <w:tcBorders>
              <w:top w:val="nil"/>
              <w:left w:val="nil"/>
              <w:bottom w:val="nil"/>
              <w:right w:val="nil"/>
            </w:tcBorders>
          </w:tcPr>
          <w:p w14:paraId="7B436EA6" w14:textId="77777777" w:rsidR="000F16C4" w:rsidRDefault="000F16C4" w:rsidP="000972AF">
            <w:pPr>
              <w:widowControl w:val="0"/>
              <w:autoSpaceDE w:val="0"/>
              <w:autoSpaceDN w:val="0"/>
              <w:adjustRightInd w:val="0"/>
              <w:spacing w:after="0" w:line="240" w:lineRule="auto"/>
              <w:rPr>
                <w:szCs w:val="24"/>
              </w:rPr>
            </w:pPr>
            <w:r>
              <w:rPr>
                <w:szCs w:val="24"/>
              </w:rPr>
              <w:t>Industry FE</w:t>
            </w:r>
          </w:p>
        </w:tc>
        <w:tc>
          <w:tcPr>
            <w:tcW w:w="701" w:type="pct"/>
            <w:tcBorders>
              <w:top w:val="nil"/>
              <w:left w:val="nil"/>
              <w:bottom w:val="nil"/>
              <w:right w:val="nil"/>
            </w:tcBorders>
          </w:tcPr>
          <w:p w14:paraId="64F8DB27"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c>
          <w:tcPr>
            <w:tcW w:w="751" w:type="pct"/>
            <w:tcBorders>
              <w:top w:val="nil"/>
              <w:left w:val="nil"/>
              <w:bottom w:val="nil"/>
              <w:right w:val="nil"/>
            </w:tcBorders>
          </w:tcPr>
          <w:p w14:paraId="39FC42F5"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c>
          <w:tcPr>
            <w:tcW w:w="701" w:type="pct"/>
            <w:tcBorders>
              <w:top w:val="nil"/>
              <w:left w:val="nil"/>
              <w:bottom w:val="nil"/>
              <w:right w:val="nil"/>
            </w:tcBorders>
          </w:tcPr>
          <w:p w14:paraId="1DA1780A"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c>
          <w:tcPr>
            <w:tcW w:w="726" w:type="pct"/>
            <w:tcBorders>
              <w:top w:val="nil"/>
              <w:left w:val="nil"/>
              <w:bottom w:val="nil"/>
              <w:right w:val="nil"/>
            </w:tcBorders>
          </w:tcPr>
          <w:p w14:paraId="5686D29A"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c>
          <w:tcPr>
            <w:tcW w:w="699" w:type="pct"/>
            <w:tcBorders>
              <w:top w:val="nil"/>
              <w:left w:val="nil"/>
              <w:bottom w:val="nil"/>
              <w:right w:val="nil"/>
            </w:tcBorders>
          </w:tcPr>
          <w:p w14:paraId="0D4A35EA"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r>
      <w:tr w:rsidR="000F16C4" w14:paraId="439800E4" w14:textId="77777777" w:rsidTr="000972AF">
        <w:trPr>
          <w:jc w:val="center"/>
        </w:trPr>
        <w:tc>
          <w:tcPr>
            <w:tcW w:w="1421" w:type="pct"/>
            <w:tcBorders>
              <w:top w:val="nil"/>
              <w:left w:val="nil"/>
              <w:bottom w:val="nil"/>
              <w:right w:val="nil"/>
            </w:tcBorders>
          </w:tcPr>
          <w:p w14:paraId="5760676C" w14:textId="77777777" w:rsidR="000F16C4" w:rsidRDefault="000F16C4" w:rsidP="000972AF">
            <w:pPr>
              <w:widowControl w:val="0"/>
              <w:autoSpaceDE w:val="0"/>
              <w:autoSpaceDN w:val="0"/>
              <w:adjustRightInd w:val="0"/>
              <w:spacing w:after="0" w:line="240" w:lineRule="auto"/>
              <w:rPr>
                <w:szCs w:val="24"/>
              </w:rPr>
            </w:pPr>
            <w:r>
              <w:rPr>
                <w:szCs w:val="24"/>
              </w:rPr>
              <w:t>Time FE</w:t>
            </w:r>
          </w:p>
        </w:tc>
        <w:tc>
          <w:tcPr>
            <w:tcW w:w="701" w:type="pct"/>
            <w:tcBorders>
              <w:top w:val="nil"/>
              <w:left w:val="nil"/>
              <w:bottom w:val="nil"/>
              <w:right w:val="nil"/>
            </w:tcBorders>
          </w:tcPr>
          <w:p w14:paraId="286C8575"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c>
          <w:tcPr>
            <w:tcW w:w="751" w:type="pct"/>
            <w:tcBorders>
              <w:top w:val="nil"/>
              <w:left w:val="nil"/>
              <w:bottom w:val="nil"/>
              <w:right w:val="nil"/>
            </w:tcBorders>
          </w:tcPr>
          <w:p w14:paraId="6648B092"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c>
          <w:tcPr>
            <w:tcW w:w="701" w:type="pct"/>
            <w:tcBorders>
              <w:top w:val="nil"/>
              <w:left w:val="nil"/>
              <w:bottom w:val="nil"/>
              <w:right w:val="nil"/>
            </w:tcBorders>
          </w:tcPr>
          <w:p w14:paraId="0DAAAD6E"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c>
          <w:tcPr>
            <w:tcW w:w="726" w:type="pct"/>
            <w:tcBorders>
              <w:top w:val="nil"/>
              <w:left w:val="nil"/>
              <w:bottom w:val="nil"/>
              <w:right w:val="nil"/>
            </w:tcBorders>
          </w:tcPr>
          <w:p w14:paraId="67CC0703"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c>
          <w:tcPr>
            <w:tcW w:w="699" w:type="pct"/>
            <w:tcBorders>
              <w:top w:val="nil"/>
              <w:left w:val="nil"/>
              <w:bottom w:val="nil"/>
              <w:right w:val="nil"/>
            </w:tcBorders>
          </w:tcPr>
          <w:p w14:paraId="1935E4D2"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r>
      <w:tr w:rsidR="000F16C4" w14:paraId="7940C654" w14:textId="77777777" w:rsidTr="000972AF">
        <w:trPr>
          <w:jc w:val="center"/>
        </w:trPr>
        <w:tc>
          <w:tcPr>
            <w:tcW w:w="1421" w:type="pct"/>
            <w:tcBorders>
              <w:top w:val="nil"/>
              <w:left w:val="nil"/>
              <w:bottom w:val="nil"/>
              <w:right w:val="nil"/>
            </w:tcBorders>
          </w:tcPr>
          <w:p w14:paraId="3966F1F0" w14:textId="77777777" w:rsidR="000F16C4" w:rsidRDefault="000F16C4" w:rsidP="000972AF">
            <w:pPr>
              <w:widowControl w:val="0"/>
              <w:autoSpaceDE w:val="0"/>
              <w:autoSpaceDN w:val="0"/>
              <w:adjustRightInd w:val="0"/>
              <w:spacing w:after="0" w:line="240" w:lineRule="auto"/>
              <w:rPr>
                <w:szCs w:val="24"/>
              </w:rPr>
            </w:pPr>
          </w:p>
        </w:tc>
        <w:tc>
          <w:tcPr>
            <w:tcW w:w="701" w:type="pct"/>
            <w:tcBorders>
              <w:top w:val="nil"/>
              <w:left w:val="nil"/>
              <w:bottom w:val="nil"/>
              <w:right w:val="nil"/>
            </w:tcBorders>
          </w:tcPr>
          <w:p w14:paraId="3D5C4620" w14:textId="77777777" w:rsidR="000F16C4" w:rsidRDefault="000F16C4" w:rsidP="000972AF">
            <w:pPr>
              <w:widowControl w:val="0"/>
              <w:autoSpaceDE w:val="0"/>
              <w:autoSpaceDN w:val="0"/>
              <w:adjustRightInd w:val="0"/>
              <w:spacing w:after="0" w:line="240" w:lineRule="auto"/>
              <w:jc w:val="center"/>
              <w:rPr>
                <w:szCs w:val="24"/>
              </w:rPr>
            </w:pPr>
          </w:p>
        </w:tc>
        <w:tc>
          <w:tcPr>
            <w:tcW w:w="751" w:type="pct"/>
            <w:tcBorders>
              <w:top w:val="nil"/>
              <w:left w:val="nil"/>
              <w:bottom w:val="nil"/>
              <w:right w:val="nil"/>
            </w:tcBorders>
          </w:tcPr>
          <w:p w14:paraId="17FB0D79" w14:textId="77777777" w:rsidR="000F16C4" w:rsidRDefault="000F16C4" w:rsidP="000972AF">
            <w:pPr>
              <w:widowControl w:val="0"/>
              <w:autoSpaceDE w:val="0"/>
              <w:autoSpaceDN w:val="0"/>
              <w:adjustRightInd w:val="0"/>
              <w:spacing w:after="0" w:line="240" w:lineRule="auto"/>
              <w:jc w:val="center"/>
              <w:rPr>
                <w:szCs w:val="24"/>
              </w:rPr>
            </w:pPr>
          </w:p>
        </w:tc>
        <w:tc>
          <w:tcPr>
            <w:tcW w:w="701" w:type="pct"/>
            <w:tcBorders>
              <w:top w:val="nil"/>
              <w:left w:val="nil"/>
              <w:bottom w:val="nil"/>
              <w:right w:val="nil"/>
            </w:tcBorders>
          </w:tcPr>
          <w:p w14:paraId="15409840" w14:textId="77777777" w:rsidR="000F16C4" w:rsidRDefault="000F16C4" w:rsidP="000972AF">
            <w:pPr>
              <w:widowControl w:val="0"/>
              <w:autoSpaceDE w:val="0"/>
              <w:autoSpaceDN w:val="0"/>
              <w:adjustRightInd w:val="0"/>
              <w:spacing w:after="0" w:line="240" w:lineRule="auto"/>
              <w:jc w:val="center"/>
              <w:rPr>
                <w:szCs w:val="24"/>
              </w:rPr>
            </w:pPr>
          </w:p>
        </w:tc>
        <w:tc>
          <w:tcPr>
            <w:tcW w:w="726" w:type="pct"/>
            <w:tcBorders>
              <w:top w:val="nil"/>
              <w:left w:val="nil"/>
              <w:bottom w:val="nil"/>
              <w:right w:val="nil"/>
            </w:tcBorders>
          </w:tcPr>
          <w:p w14:paraId="6A1D990D" w14:textId="77777777" w:rsidR="000F16C4" w:rsidRDefault="000F16C4" w:rsidP="000972AF">
            <w:pPr>
              <w:widowControl w:val="0"/>
              <w:autoSpaceDE w:val="0"/>
              <w:autoSpaceDN w:val="0"/>
              <w:adjustRightInd w:val="0"/>
              <w:spacing w:after="0" w:line="240" w:lineRule="auto"/>
              <w:jc w:val="center"/>
              <w:rPr>
                <w:szCs w:val="24"/>
              </w:rPr>
            </w:pPr>
          </w:p>
        </w:tc>
        <w:tc>
          <w:tcPr>
            <w:tcW w:w="699" w:type="pct"/>
            <w:tcBorders>
              <w:top w:val="nil"/>
              <w:left w:val="nil"/>
              <w:bottom w:val="nil"/>
              <w:right w:val="nil"/>
            </w:tcBorders>
          </w:tcPr>
          <w:p w14:paraId="0C8584B5" w14:textId="77777777" w:rsidR="000F16C4" w:rsidRDefault="000F16C4" w:rsidP="000972AF">
            <w:pPr>
              <w:widowControl w:val="0"/>
              <w:autoSpaceDE w:val="0"/>
              <w:autoSpaceDN w:val="0"/>
              <w:adjustRightInd w:val="0"/>
              <w:spacing w:after="0" w:line="240" w:lineRule="auto"/>
              <w:jc w:val="center"/>
              <w:rPr>
                <w:szCs w:val="24"/>
              </w:rPr>
            </w:pPr>
          </w:p>
        </w:tc>
      </w:tr>
      <w:tr w:rsidR="000F16C4" w14:paraId="6CE4C562" w14:textId="77777777" w:rsidTr="000972AF">
        <w:trPr>
          <w:jc w:val="center"/>
        </w:trPr>
        <w:tc>
          <w:tcPr>
            <w:tcW w:w="1421" w:type="pct"/>
            <w:tcBorders>
              <w:top w:val="nil"/>
              <w:left w:val="nil"/>
              <w:bottom w:val="nil"/>
              <w:right w:val="nil"/>
            </w:tcBorders>
          </w:tcPr>
          <w:p w14:paraId="450575A8" w14:textId="77777777" w:rsidR="000F16C4" w:rsidRDefault="000F16C4" w:rsidP="000972AF">
            <w:pPr>
              <w:widowControl w:val="0"/>
              <w:autoSpaceDE w:val="0"/>
              <w:autoSpaceDN w:val="0"/>
              <w:adjustRightInd w:val="0"/>
              <w:spacing w:after="0" w:line="240" w:lineRule="auto"/>
              <w:rPr>
                <w:szCs w:val="24"/>
              </w:rPr>
            </w:pPr>
            <w:r>
              <w:rPr>
                <w:szCs w:val="24"/>
              </w:rPr>
              <w:t>Constant</w:t>
            </w:r>
          </w:p>
        </w:tc>
        <w:tc>
          <w:tcPr>
            <w:tcW w:w="701" w:type="pct"/>
            <w:tcBorders>
              <w:top w:val="nil"/>
              <w:left w:val="nil"/>
              <w:bottom w:val="nil"/>
              <w:right w:val="nil"/>
            </w:tcBorders>
          </w:tcPr>
          <w:p w14:paraId="7D7F92A8" w14:textId="77777777" w:rsidR="000F16C4" w:rsidRDefault="000F16C4" w:rsidP="000972AF">
            <w:pPr>
              <w:widowControl w:val="0"/>
              <w:autoSpaceDE w:val="0"/>
              <w:autoSpaceDN w:val="0"/>
              <w:adjustRightInd w:val="0"/>
              <w:spacing w:after="0" w:line="240" w:lineRule="auto"/>
              <w:jc w:val="center"/>
              <w:rPr>
                <w:szCs w:val="24"/>
              </w:rPr>
            </w:pPr>
            <w:r>
              <w:rPr>
                <w:szCs w:val="24"/>
              </w:rPr>
              <w:t>0.05***</w:t>
            </w:r>
          </w:p>
        </w:tc>
        <w:tc>
          <w:tcPr>
            <w:tcW w:w="751" w:type="pct"/>
            <w:tcBorders>
              <w:top w:val="nil"/>
              <w:left w:val="nil"/>
              <w:bottom w:val="nil"/>
              <w:right w:val="nil"/>
            </w:tcBorders>
          </w:tcPr>
          <w:p w14:paraId="222A3510"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701" w:type="pct"/>
            <w:tcBorders>
              <w:top w:val="nil"/>
              <w:left w:val="nil"/>
              <w:bottom w:val="nil"/>
              <w:right w:val="nil"/>
            </w:tcBorders>
          </w:tcPr>
          <w:p w14:paraId="48426E5E" w14:textId="77777777" w:rsidR="000F16C4" w:rsidRDefault="000F16C4" w:rsidP="000972AF">
            <w:pPr>
              <w:widowControl w:val="0"/>
              <w:autoSpaceDE w:val="0"/>
              <w:autoSpaceDN w:val="0"/>
              <w:adjustRightInd w:val="0"/>
              <w:spacing w:after="0" w:line="240" w:lineRule="auto"/>
              <w:jc w:val="center"/>
              <w:rPr>
                <w:szCs w:val="24"/>
              </w:rPr>
            </w:pPr>
            <w:r>
              <w:rPr>
                <w:szCs w:val="24"/>
              </w:rPr>
              <w:t>0.11***</w:t>
            </w:r>
          </w:p>
        </w:tc>
        <w:tc>
          <w:tcPr>
            <w:tcW w:w="726" w:type="pct"/>
            <w:tcBorders>
              <w:top w:val="nil"/>
              <w:left w:val="nil"/>
              <w:bottom w:val="nil"/>
              <w:right w:val="nil"/>
            </w:tcBorders>
          </w:tcPr>
          <w:p w14:paraId="3790F7E5" w14:textId="77777777" w:rsidR="000F16C4" w:rsidRDefault="000F16C4" w:rsidP="000972AF">
            <w:pPr>
              <w:widowControl w:val="0"/>
              <w:autoSpaceDE w:val="0"/>
              <w:autoSpaceDN w:val="0"/>
              <w:adjustRightInd w:val="0"/>
              <w:spacing w:after="0" w:line="240" w:lineRule="auto"/>
              <w:jc w:val="center"/>
              <w:rPr>
                <w:szCs w:val="24"/>
              </w:rPr>
            </w:pPr>
            <w:r>
              <w:rPr>
                <w:szCs w:val="24"/>
              </w:rPr>
              <w:t>0.04***</w:t>
            </w:r>
          </w:p>
        </w:tc>
        <w:tc>
          <w:tcPr>
            <w:tcW w:w="699" w:type="pct"/>
            <w:tcBorders>
              <w:top w:val="nil"/>
              <w:left w:val="nil"/>
              <w:bottom w:val="nil"/>
              <w:right w:val="nil"/>
            </w:tcBorders>
          </w:tcPr>
          <w:p w14:paraId="4F82EDAC" w14:textId="77777777" w:rsidR="000F16C4" w:rsidRDefault="000F16C4" w:rsidP="000972AF">
            <w:pPr>
              <w:widowControl w:val="0"/>
              <w:autoSpaceDE w:val="0"/>
              <w:autoSpaceDN w:val="0"/>
              <w:adjustRightInd w:val="0"/>
              <w:spacing w:after="0" w:line="240" w:lineRule="auto"/>
              <w:jc w:val="center"/>
              <w:rPr>
                <w:szCs w:val="24"/>
              </w:rPr>
            </w:pPr>
            <w:r>
              <w:rPr>
                <w:szCs w:val="24"/>
              </w:rPr>
              <w:t>0.07***</w:t>
            </w:r>
          </w:p>
        </w:tc>
      </w:tr>
      <w:tr w:rsidR="000F16C4" w14:paraId="563EA225" w14:textId="77777777" w:rsidTr="000972AF">
        <w:trPr>
          <w:jc w:val="center"/>
        </w:trPr>
        <w:tc>
          <w:tcPr>
            <w:tcW w:w="1421" w:type="pct"/>
            <w:tcBorders>
              <w:top w:val="nil"/>
              <w:left w:val="nil"/>
              <w:bottom w:val="nil"/>
              <w:right w:val="nil"/>
            </w:tcBorders>
          </w:tcPr>
          <w:p w14:paraId="1F754201" w14:textId="77777777" w:rsidR="000F16C4" w:rsidRDefault="000F16C4" w:rsidP="000972AF">
            <w:pPr>
              <w:widowControl w:val="0"/>
              <w:autoSpaceDE w:val="0"/>
              <w:autoSpaceDN w:val="0"/>
              <w:adjustRightInd w:val="0"/>
              <w:spacing w:after="0" w:line="240" w:lineRule="auto"/>
              <w:rPr>
                <w:szCs w:val="24"/>
              </w:rPr>
            </w:pPr>
          </w:p>
        </w:tc>
        <w:tc>
          <w:tcPr>
            <w:tcW w:w="701" w:type="pct"/>
            <w:tcBorders>
              <w:top w:val="nil"/>
              <w:left w:val="nil"/>
              <w:bottom w:val="nil"/>
              <w:right w:val="nil"/>
            </w:tcBorders>
          </w:tcPr>
          <w:p w14:paraId="7071EE83" w14:textId="77777777" w:rsidR="000F16C4" w:rsidRDefault="000F16C4" w:rsidP="000972AF">
            <w:pPr>
              <w:widowControl w:val="0"/>
              <w:autoSpaceDE w:val="0"/>
              <w:autoSpaceDN w:val="0"/>
              <w:adjustRightInd w:val="0"/>
              <w:spacing w:after="0" w:line="240" w:lineRule="auto"/>
              <w:jc w:val="center"/>
              <w:rPr>
                <w:szCs w:val="24"/>
              </w:rPr>
            </w:pPr>
            <w:r>
              <w:rPr>
                <w:szCs w:val="24"/>
              </w:rPr>
              <w:t>(0.02)</w:t>
            </w:r>
          </w:p>
        </w:tc>
        <w:tc>
          <w:tcPr>
            <w:tcW w:w="751" w:type="pct"/>
            <w:tcBorders>
              <w:top w:val="nil"/>
              <w:left w:val="nil"/>
              <w:bottom w:val="nil"/>
              <w:right w:val="nil"/>
            </w:tcBorders>
          </w:tcPr>
          <w:p w14:paraId="5DD802BC" w14:textId="77777777" w:rsidR="000F16C4" w:rsidRDefault="000F16C4" w:rsidP="000972AF">
            <w:pPr>
              <w:widowControl w:val="0"/>
              <w:autoSpaceDE w:val="0"/>
              <w:autoSpaceDN w:val="0"/>
              <w:adjustRightInd w:val="0"/>
              <w:spacing w:after="0" w:line="240" w:lineRule="auto"/>
              <w:jc w:val="center"/>
              <w:rPr>
                <w:szCs w:val="24"/>
              </w:rPr>
            </w:pPr>
            <w:r>
              <w:rPr>
                <w:szCs w:val="24"/>
              </w:rPr>
              <w:t>(0.01)</w:t>
            </w:r>
          </w:p>
        </w:tc>
        <w:tc>
          <w:tcPr>
            <w:tcW w:w="701" w:type="pct"/>
            <w:tcBorders>
              <w:top w:val="nil"/>
              <w:left w:val="nil"/>
              <w:bottom w:val="nil"/>
              <w:right w:val="nil"/>
            </w:tcBorders>
          </w:tcPr>
          <w:p w14:paraId="42EDDCE9"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726" w:type="pct"/>
            <w:tcBorders>
              <w:top w:val="nil"/>
              <w:left w:val="nil"/>
              <w:bottom w:val="nil"/>
              <w:right w:val="nil"/>
            </w:tcBorders>
          </w:tcPr>
          <w:p w14:paraId="3A409EBA" w14:textId="77777777" w:rsidR="000F16C4" w:rsidRDefault="000F16C4" w:rsidP="000972AF">
            <w:pPr>
              <w:widowControl w:val="0"/>
              <w:autoSpaceDE w:val="0"/>
              <w:autoSpaceDN w:val="0"/>
              <w:adjustRightInd w:val="0"/>
              <w:spacing w:after="0" w:line="240" w:lineRule="auto"/>
              <w:jc w:val="center"/>
              <w:rPr>
                <w:szCs w:val="24"/>
              </w:rPr>
            </w:pPr>
            <w:r>
              <w:rPr>
                <w:szCs w:val="24"/>
              </w:rPr>
              <w:t>(0.02)</w:t>
            </w:r>
          </w:p>
        </w:tc>
        <w:tc>
          <w:tcPr>
            <w:tcW w:w="699" w:type="pct"/>
            <w:tcBorders>
              <w:top w:val="nil"/>
              <w:left w:val="nil"/>
              <w:bottom w:val="nil"/>
              <w:right w:val="nil"/>
            </w:tcBorders>
          </w:tcPr>
          <w:p w14:paraId="5C16155E" w14:textId="77777777" w:rsidR="000F16C4" w:rsidRDefault="000F16C4" w:rsidP="000972AF">
            <w:pPr>
              <w:widowControl w:val="0"/>
              <w:autoSpaceDE w:val="0"/>
              <w:autoSpaceDN w:val="0"/>
              <w:adjustRightInd w:val="0"/>
              <w:spacing w:after="0" w:line="240" w:lineRule="auto"/>
              <w:jc w:val="center"/>
              <w:rPr>
                <w:szCs w:val="24"/>
              </w:rPr>
            </w:pPr>
            <w:r>
              <w:rPr>
                <w:szCs w:val="24"/>
              </w:rPr>
              <w:t>(0.02)</w:t>
            </w:r>
          </w:p>
        </w:tc>
      </w:tr>
      <w:tr w:rsidR="000F16C4" w14:paraId="4C6B1DD2" w14:textId="77777777" w:rsidTr="000972AF">
        <w:trPr>
          <w:jc w:val="center"/>
        </w:trPr>
        <w:tc>
          <w:tcPr>
            <w:tcW w:w="1421" w:type="pct"/>
            <w:tcBorders>
              <w:top w:val="nil"/>
              <w:left w:val="nil"/>
              <w:bottom w:val="nil"/>
              <w:right w:val="nil"/>
            </w:tcBorders>
          </w:tcPr>
          <w:p w14:paraId="3BDF4DF8" w14:textId="77777777" w:rsidR="000F16C4" w:rsidRDefault="000F16C4" w:rsidP="000972AF">
            <w:pPr>
              <w:widowControl w:val="0"/>
              <w:autoSpaceDE w:val="0"/>
              <w:autoSpaceDN w:val="0"/>
              <w:adjustRightInd w:val="0"/>
              <w:spacing w:after="0" w:line="240" w:lineRule="auto"/>
              <w:rPr>
                <w:szCs w:val="24"/>
              </w:rPr>
            </w:pPr>
          </w:p>
        </w:tc>
        <w:tc>
          <w:tcPr>
            <w:tcW w:w="701" w:type="pct"/>
            <w:tcBorders>
              <w:top w:val="nil"/>
              <w:left w:val="nil"/>
              <w:bottom w:val="nil"/>
              <w:right w:val="nil"/>
            </w:tcBorders>
          </w:tcPr>
          <w:p w14:paraId="00BEE57C" w14:textId="77777777" w:rsidR="000F16C4" w:rsidRDefault="000F16C4" w:rsidP="000972AF">
            <w:pPr>
              <w:widowControl w:val="0"/>
              <w:autoSpaceDE w:val="0"/>
              <w:autoSpaceDN w:val="0"/>
              <w:adjustRightInd w:val="0"/>
              <w:spacing w:after="0" w:line="240" w:lineRule="auto"/>
              <w:jc w:val="center"/>
              <w:rPr>
                <w:szCs w:val="24"/>
              </w:rPr>
            </w:pPr>
          </w:p>
        </w:tc>
        <w:tc>
          <w:tcPr>
            <w:tcW w:w="751" w:type="pct"/>
            <w:tcBorders>
              <w:top w:val="nil"/>
              <w:left w:val="nil"/>
              <w:bottom w:val="nil"/>
              <w:right w:val="nil"/>
            </w:tcBorders>
          </w:tcPr>
          <w:p w14:paraId="367676FA" w14:textId="77777777" w:rsidR="000F16C4" w:rsidRDefault="000F16C4" w:rsidP="000972AF">
            <w:pPr>
              <w:widowControl w:val="0"/>
              <w:autoSpaceDE w:val="0"/>
              <w:autoSpaceDN w:val="0"/>
              <w:adjustRightInd w:val="0"/>
              <w:spacing w:after="0" w:line="240" w:lineRule="auto"/>
              <w:jc w:val="center"/>
              <w:rPr>
                <w:szCs w:val="24"/>
              </w:rPr>
            </w:pPr>
          </w:p>
        </w:tc>
        <w:tc>
          <w:tcPr>
            <w:tcW w:w="701" w:type="pct"/>
            <w:tcBorders>
              <w:top w:val="nil"/>
              <w:left w:val="nil"/>
              <w:bottom w:val="nil"/>
              <w:right w:val="nil"/>
            </w:tcBorders>
          </w:tcPr>
          <w:p w14:paraId="79BF1FBF" w14:textId="77777777" w:rsidR="000F16C4" w:rsidRDefault="000F16C4" w:rsidP="000972AF">
            <w:pPr>
              <w:widowControl w:val="0"/>
              <w:autoSpaceDE w:val="0"/>
              <w:autoSpaceDN w:val="0"/>
              <w:adjustRightInd w:val="0"/>
              <w:spacing w:after="0" w:line="240" w:lineRule="auto"/>
              <w:jc w:val="center"/>
              <w:rPr>
                <w:szCs w:val="24"/>
              </w:rPr>
            </w:pPr>
          </w:p>
        </w:tc>
        <w:tc>
          <w:tcPr>
            <w:tcW w:w="726" w:type="pct"/>
            <w:tcBorders>
              <w:top w:val="nil"/>
              <w:left w:val="nil"/>
              <w:bottom w:val="nil"/>
              <w:right w:val="nil"/>
            </w:tcBorders>
          </w:tcPr>
          <w:p w14:paraId="3431E044" w14:textId="77777777" w:rsidR="000F16C4" w:rsidRDefault="000F16C4" w:rsidP="000972AF">
            <w:pPr>
              <w:widowControl w:val="0"/>
              <w:autoSpaceDE w:val="0"/>
              <w:autoSpaceDN w:val="0"/>
              <w:adjustRightInd w:val="0"/>
              <w:spacing w:after="0" w:line="240" w:lineRule="auto"/>
              <w:jc w:val="center"/>
              <w:rPr>
                <w:szCs w:val="24"/>
              </w:rPr>
            </w:pPr>
          </w:p>
        </w:tc>
        <w:tc>
          <w:tcPr>
            <w:tcW w:w="699" w:type="pct"/>
            <w:tcBorders>
              <w:top w:val="nil"/>
              <w:left w:val="nil"/>
              <w:bottom w:val="nil"/>
              <w:right w:val="nil"/>
            </w:tcBorders>
          </w:tcPr>
          <w:p w14:paraId="78757089" w14:textId="77777777" w:rsidR="000F16C4" w:rsidRDefault="000F16C4" w:rsidP="000972AF">
            <w:pPr>
              <w:widowControl w:val="0"/>
              <w:autoSpaceDE w:val="0"/>
              <w:autoSpaceDN w:val="0"/>
              <w:adjustRightInd w:val="0"/>
              <w:spacing w:after="0" w:line="240" w:lineRule="auto"/>
              <w:jc w:val="center"/>
              <w:rPr>
                <w:szCs w:val="24"/>
              </w:rPr>
            </w:pPr>
          </w:p>
        </w:tc>
      </w:tr>
      <w:tr w:rsidR="000F16C4" w14:paraId="344F3DED" w14:textId="77777777" w:rsidTr="000972AF">
        <w:trPr>
          <w:jc w:val="center"/>
        </w:trPr>
        <w:tc>
          <w:tcPr>
            <w:tcW w:w="1421" w:type="pct"/>
            <w:tcBorders>
              <w:top w:val="nil"/>
              <w:left w:val="nil"/>
              <w:bottom w:val="nil"/>
              <w:right w:val="nil"/>
            </w:tcBorders>
          </w:tcPr>
          <w:p w14:paraId="4463EA6A" w14:textId="77777777" w:rsidR="000F16C4" w:rsidRDefault="000F16C4" w:rsidP="000972AF">
            <w:pPr>
              <w:widowControl w:val="0"/>
              <w:autoSpaceDE w:val="0"/>
              <w:autoSpaceDN w:val="0"/>
              <w:adjustRightInd w:val="0"/>
              <w:spacing w:after="0" w:line="240" w:lineRule="auto"/>
              <w:rPr>
                <w:szCs w:val="24"/>
              </w:rPr>
            </w:pPr>
            <w:r>
              <w:rPr>
                <w:szCs w:val="24"/>
              </w:rPr>
              <w:t>N</w:t>
            </w:r>
          </w:p>
        </w:tc>
        <w:tc>
          <w:tcPr>
            <w:tcW w:w="701" w:type="pct"/>
            <w:tcBorders>
              <w:top w:val="nil"/>
              <w:left w:val="nil"/>
              <w:bottom w:val="nil"/>
              <w:right w:val="nil"/>
            </w:tcBorders>
          </w:tcPr>
          <w:p w14:paraId="4824B847" w14:textId="77777777" w:rsidR="000F16C4" w:rsidRDefault="000F16C4" w:rsidP="000972AF">
            <w:pPr>
              <w:widowControl w:val="0"/>
              <w:autoSpaceDE w:val="0"/>
              <w:autoSpaceDN w:val="0"/>
              <w:adjustRightInd w:val="0"/>
              <w:spacing w:after="0" w:line="240" w:lineRule="auto"/>
              <w:jc w:val="center"/>
              <w:rPr>
                <w:szCs w:val="24"/>
              </w:rPr>
            </w:pPr>
            <w:r>
              <w:rPr>
                <w:szCs w:val="24"/>
              </w:rPr>
              <w:t>6,363</w:t>
            </w:r>
          </w:p>
        </w:tc>
        <w:tc>
          <w:tcPr>
            <w:tcW w:w="751" w:type="pct"/>
            <w:tcBorders>
              <w:top w:val="nil"/>
              <w:left w:val="nil"/>
              <w:bottom w:val="nil"/>
              <w:right w:val="nil"/>
            </w:tcBorders>
          </w:tcPr>
          <w:p w14:paraId="43BE587B" w14:textId="77777777" w:rsidR="000F16C4" w:rsidRDefault="000F16C4" w:rsidP="000972AF">
            <w:pPr>
              <w:widowControl w:val="0"/>
              <w:autoSpaceDE w:val="0"/>
              <w:autoSpaceDN w:val="0"/>
              <w:adjustRightInd w:val="0"/>
              <w:spacing w:after="0" w:line="240" w:lineRule="auto"/>
              <w:jc w:val="center"/>
              <w:rPr>
                <w:szCs w:val="24"/>
              </w:rPr>
            </w:pPr>
            <w:r>
              <w:rPr>
                <w:szCs w:val="24"/>
              </w:rPr>
              <w:t>6,341</w:t>
            </w:r>
          </w:p>
        </w:tc>
        <w:tc>
          <w:tcPr>
            <w:tcW w:w="701" w:type="pct"/>
            <w:tcBorders>
              <w:top w:val="nil"/>
              <w:left w:val="nil"/>
              <w:bottom w:val="nil"/>
              <w:right w:val="nil"/>
            </w:tcBorders>
          </w:tcPr>
          <w:p w14:paraId="7855349B" w14:textId="77777777" w:rsidR="000F16C4" w:rsidRDefault="000F16C4" w:rsidP="000972AF">
            <w:pPr>
              <w:widowControl w:val="0"/>
              <w:autoSpaceDE w:val="0"/>
              <w:autoSpaceDN w:val="0"/>
              <w:adjustRightInd w:val="0"/>
              <w:spacing w:after="0" w:line="240" w:lineRule="auto"/>
              <w:jc w:val="center"/>
              <w:rPr>
                <w:szCs w:val="24"/>
              </w:rPr>
            </w:pPr>
            <w:r>
              <w:rPr>
                <w:szCs w:val="24"/>
              </w:rPr>
              <w:t>6,378</w:t>
            </w:r>
          </w:p>
        </w:tc>
        <w:tc>
          <w:tcPr>
            <w:tcW w:w="726" w:type="pct"/>
            <w:tcBorders>
              <w:top w:val="nil"/>
              <w:left w:val="nil"/>
              <w:bottom w:val="nil"/>
              <w:right w:val="nil"/>
            </w:tcBorders>
          </w:tcPr>
          <w:p w14:paraId="77D01AE9" w14:textId="77777777" w:rsidR="000F16C4" w:rsidRDefault="000F16C4" w:rsidP="000972AF">
            <w:pPr>
              <w:widowControl w:val="0"/>
              <w:autoSpaceDE w:val="0"/>
              <w:autoSpaceDN w:val="0"/>
              <w:adjustRightInd w:val="0"/>
              <w:spacing w:after="0" w:line="240" w:lineRule="auto"/>
              <w:jc w:val="center"/>
              <w:rPr>
                <w:szCs w:val="24"/>
              </w:rPr>
            </w:pPr>
            <w:r>
              <w:rPr>
                <w:szCs w:val="24"/>
              </w:rPr>
              <w:t>4,907</w:t>
            </w:r>
          </w:p>
        </w:tc>
        <w:tc>
          <w:tcPr>
            <w:tcW w:w="699" w:type="pct"/>
            <w:tcBorders>
              <w:top w:val="nil"/>
              <w:left w:val="nil"/>
              <w:bottom w:val="nil"/>
              <w:right w:val="nil"/>
            </w:tcBorders>
          </w:tcPr>
          <w:p w14:paraId="05A55F8C" w14:textId="77777777" w:rsidR="000F16C4" w:rsidRDefault="000F16C4" w:rsidP="000972AF">
            <w:pPr>
              <w:widowControl w:val="0"/>
              <w:autoSpaceDE w:val="0"/>
              <w:autoSpaceDN w:val="0"/>
              <w:adjustRightInd w:val="0"/>
              <w:spacing w:after="0" w:line="240" w:lineRule="auto"/>
              <w:jc w:val="center"/>
              <w:rPr>
                <w:szCs w:val="24"/>
              </w:rPr>
            </w:pPr>
            <w:r>
              <w:rPr>
                <w:szCs w:val="24"/>
              </w:rPr>
              <w:t>5,667</w:t>
            </w:r>
          </w:p>
        </w:tc>
      </w:tr>
      <w:tr w:rsidR="000F16C4" w14:paraId="47F7FE48" w14:textId="77777777" w:rsidTr="000972AF">
        <w:tblPrEx>
          <w:tblBorders>
            <w:bottom w:val="single" w:sz="6" w:space="0" w:color="auto"/>
          </w:tblBorders>
        </w:tblPrEx>
        <w:trPr>
          <w:jc w:val="center"/>
        </w:trPr>
        <w:tc>
          <w:tcPr>
            <w:tcW w:w="1421" w:type="pct"/>
            <w:tcBorders>
              <w:top w:val="nil"/>
              <w:left w:val="nil"/>
              <w:bottom w:val="single" w:sz="6" w:space="0" w:color="auto"/>
              <w:right w:val="nil"/>
            </w:tcBorders>
          </w:tcPr>
          <w:p w14:paraId="5F076C30" w14:textId="77777777" w:rsidR="000F16C4" w:rsidRDefault="000F16C4" w:rsidP="000972AF">
            <w:pPr>
              <w:widowControl w:val="0"/>
              <w:autoSpaceDE w:val="0"/>
              <w:autoSpaceDN w:val="0"/>
              <w:adjustRightInd w:val="0"/>
              <w:spacing w:after="0" w:line="240" w:lineRule="auto"/>
              <w:rPr>
                <w:szCs w:val="24"/>
              </w:rPr>
            </w:pPr>
            <w:r>
              <w:rPr>
                <w:szCs w:val="24"/>
              </w:rPr>
              <w:t>Pseudo R</w:t>
            </w:r>
            <w:r w:rsidRPr="00C861B5">
              <w:rPr>
                <w:szCs w:val="24"/>
                <w:vertAlign w:val="superscript"/>
              </w:rPr>
              <w:t>2</w:t>
            </w:r>
          </w:p>
        </w:tc>
        <w:tc>
          <w:tcPr>
            <w:tcW w:w="701" w:type="pct"/>
            <w:tcBorders>
              <w:top w:val="nil"/>
              <w:left w:val="nil"/>
              <w:bottom w:val="single" w:sz="6" w:space="0" w:color="auto"/>
              <w:right w:val="nil"/>
            </w:tcBorders>
          </w:tcPr>
          <w:p w14:paraId="3ACE4508" w14:textId="77777777" w:rsidR="000F16C4" w:rsidRDefault="000F16C4" w:rsidP="000972AF">
            <w:pPr>
              <w:widowControl w:val="0"/>
              <w:autoSpaceDE w:val="0"/>
              <w:autoSpaceDN w:val="0"/>
              <w:adjustRightInd w:val="0"/>
              <w:spacing w:after="0" w:line="240" w:lineRule="auto"/>
              <w:jc w:val="center"/>
              <w:rPr>
                <w:szCs w:val="24"/>
              </w:rPr>
            </w:pPr>
            <w:r>
              <w:rPr>
                <w:szCs w:val="24"/>
              </w:rPr>
              <w:t>0.30</w:t>
            </w:r>
          </w:p>
        </w:tc>
        <w:tc>
          <w:tcPr>
            <w:tcW w:w="751" w:type="pct"/>
            <w:tcBorders>
              <w:top w:val="nil"/>
              <w:left w:val="nil"/>
              <w:bottom w:val="single" w:sz="6" w:space="0" w:color="auto"/>
              <w:right w:val="nil"/>
            </w:tcBorders>
          </w:tcPr>
          <w:p w14:paraId="163B0459" w14:textId="77777777" w:rsidR="000F16C4" w:rsidRDefault="000F16C4" w:rsidP="000972AF">
            <w:pPr>
              <w:widowControl w:val="0"/>
              <w:autoSpaceDE w:val="0"/>
              <w:autoSpaceDN w:val="0"/>
              <w:adjustRightInd w:val="0"/>
              <w:spacing w:after="0" w:line="240" w:lineRule="auto"/>
              <w:jc w:val="center"/>
              <w:rPr>
                <w:szCs w:val="24"/>
              </w:rPr>
            </w:pPr>
            <w:r>
              <w:rPr>
                <w:szCs w:val="24"/>
              </w:rPr>
              <w:t>0.27</w:t>
            </w:r>
          </w:p>
        </w:tc>
        <w:tc>
          <w:tcPr>
            <w:tcW w:w="701" w:type="pct"/>
            <w:tcBorders>
              <w:top w:val="nil"/>
              <w:left w:val="nil"/>
              <w:bottom w:val="single" w:sz="6" w:space="0" w:color="auto"/>
              <w:right w:val="nil"/>
            </w:tcBorders>
          </w:tcPr>
          <w:p w14:paraId="712285E6" w14:textId="77777777" w:rsidR="000F16C4" w:rsidRDefault="000F16C4" w:rsidP="000972AF">
            <w:pPr>
              <w:widowControl w:val="0"/>
              <w:autoSpaceDE w:val="0"/>
              <w:autoSpaceDN w:val="0"/>
              <w:adjustRightInd w:val="0"/>
              <w:spacing w:after="0" w:line="240" w:lineRule="auto"/>
              <w:jc w:val="center"/>
              <w:rPr>
                <w:szCs w:val="24"/>
              </w:rPr>
            </w:pPr>
            <w:r>
              <w:rPr>
                <w:szCs w:val="24"/>
              </w:rPr>
              <w:t>0.15</w:t>
            </w:r>
          </w:p>
        </w:tc>
        <w:tc>
          <w:tcPr>
            <w:tcW w:w="726" w:type="pct"/>
            <w:tcBorders>
              <w:top w:val="nil"/>
              <w:left w:val="nil"/>
              <w:bottom w:val="single" w:sz="6" w:space="0" w:color="auto"/>
              <w:right w:val="nil"/>
            </w:tcBorders>
          </w:tcPr>
          <w:p w14:paraId="5477B1E7" w14:textId="77777777" w:rsidR="000F16C4" w:rsidRDefault="000F16C4" w:rsidP="000972AF">
            <w:pPr>
              <w:widowControl w:val="0"/>
              <w:autoSpaceDE w:val="0"/>
              <w:autoSpaceDN w:val="0"/>
              <w:adjustRightInd w:val="0"/>
              <w:spacing w:after="0" w:line="240" w:lineRule="auto"/>
              <w:jc w:val="center"/>
              <w:rPr>
                <w:szCs w:val="24"/>
              </w:rPr>
            </w:pPr>
            <w:r>
              <w:rPr>
                <w:szCs w:val="24"/>
              </w:rPr>
              <w:t>0.10</w:t>
            </w:r>
          </w:p>
        </w:tc>
        <w:tc>
          <w:tcPr>
            <w:tcW w:w="699" w:type="pct"/>
            <w:tcBorders>
              <w:top w:val="nil"/>
              <w:left w:val="nil"/>
              <w:bottom w:val="single" w:sz="6" w:space="0" w:color="auto"/>
              <w:right w:val="nil"/>
            </w:tcBorders>
          </w:tcPr>
          <w:p w14:paraId="0EF0D3BF" w14:textId="77777777" w:rsidR="000F16C4" w:rsidRDefault="000F16C4" w:rsidP="000972AF">
            <w:pPr>
              <w:widowControl w:val="0"/>
              <w:autoSpaceDE w:val="0"/>
              <w:autoSpaceDN w:val="0"/>
              <w:adjustRightInd w:val="0"/>
              <w:spacing w:after="0" w:line="240" w:lineRule="auto"/>
              <w:jc w:val="center"/>
              <w:rPr>
                <w:szCs w:val="24"/>
              </w:rPr>
            </w:pPr>
            <w:r>
              <w:rPr>
                <w:szCs w:val="24"/>
              </w:rPr>
              <w:t>0.15</w:t>
            </w:r>
          </w:p>
        </w:tc>
      </w:tr>
    </w:tbl>
    <w:p w14:paraId="0FE2FD54" w14:textId="77777777" w:rsidR="000F16C4" w:rsidRDefault="000F16C4" w:rsidP="000F16C4">
      <w:pPr>
        <w:widowControl w:val="0"/>
        <w:autoSpaceDE w:val="0"/>
        <w:autoSpaceDN w:val="0"/>
        <w:adjustRightInd w:val="0"/>
        <w:spacing w:after="0" w:line="240" w:lineRule="auto"/>
        <w:jc w:val="center"/>
        <w:rPr>
          <w:szCs w:val="24"/>
          <w:lang w:val="en-GB"/>
        </w:rPr>
      </w:pPr>
      <w:r>
        <w:rPr>
          <w:szCs w:val="24"/>
          <w:lang w:val="en-GB"/>
        </w:rPr>
        <w:t xml:space="preserve">Odds ratios. </w:t>
      </w:r>
      <w:r w:rsidRPr="00406E9B">
        <w:rPr>
          <w:szCs w:val="24"/>
          <w:lang w:val="en-GB"/>
        </w:rPr>
        <w:t xml:space="preserve">Robust </w:t>
      </w:r>
      <w:r>
        <w:rPr>
          <w:szCs w:val="24"/>
          <w:lang w:val="en-GB"/>
        </w:rPr>
        <w:t>standard errors (clustered over firms)</w:t>
      </w:r>
      <w:r w:rsidRPr="00406E9B">
        <w:rPr>
          <w:szCs w:val="24"/>
          <w:lang w:val="en-GB"/>
        </w:rPr>
        <w:t xml:space="preserve"> in parentheses</w:t>
      </w:r>
      <w:r>
        <w:rPr>
          <w:szCs w:val="24"/>
          <w:lang w:val="en-GB"/>
        </w:rPr>
        <w:t>.</w:t>
      </w:r>
      <w:r w:rsidRPr="00456515">
        <w:rPr>
          <w:szCs w:val="24"/>
          <w:lang w:val="en-GB"/>
        </w:rPr>
        <w:t xml:space="preserve"> </w:t>
      </w:r>
    </w:p>
    <w:p w14:paraId="121D4BF2" w14:textId="77777777" w:rsidR="000F16C4" w:rsidRPr="00456515" w:rsidRDefault="000F16C4" w:rsidP="000F16C4">
      <w:pPr>
        <w:widowControl w:val="0"/>
        <w:autoSpaceDE w:val="0"/>
        <w:autoSpaceDN w:val="0"/>
        <w:adjustRightInd w:val="0"/>
        <w:spacing w:after="0" w:line="240" w:lineRule="auto"/>
        <w:jc w:val="center"/>
        <w:rPr>
          <w:szCs w:val="24"/>
          <w:lang w:val="en-GB"/>
        </w:rPr>
      </w:pPr>
      <w:r w:rsidRPr="00456515">
        <w:rPr>
          <w:szCs w:val="24"/>
          <w:lang w:val="en-GB"/>
        </w:rPr>
        <w:t>*** p&lt;.001, ** p&lt;.01, * p&lt;.05, + p&lt;.10</w:t>
      </w:r>
    </w:p>
    <w:p w14:paraId="554CD099" w14:textId="77777777" w:rsidR="004B3AB5" w:rsidRPr="000050B8" w:rsidRDefault="004B3AB5" w:rsidP="00C43B94">
      <w:pPr>
        <w:spacing w:line="480" w:lineRule="auto"/>
        <w:rPr>
          <w:lang w:val="en-GB"/>
        </w:rPr>
      </w:pPr>
    </w:p>
    <w:p w14:paraId="63DFA376" w14:textId="10DBBAC0" w:rsidR="004B3AB5" w:rsidRPr="000050B8" w:rsidRDefault="004B3AB5" w:rsidP="00C43B94">
      <w:pPr>
        <w:spacing w:line="480" w:lineRule="auto"/>
        <w:rPr>
          <w:lang w:val="en-GB"/>
        </w:rPr>
      </w:pPr>
      <w:r w:rsidRPr="000050B8">
        <w:rPr>
          <w:lang w:val="en-GB"/>
        </w:rPr>
        <w:t xml:space="preserve">The results are mostly consistent with </w:t>
      </w:r>
      <w:r>
        <w:rPr>
          <w:lang w:val="en-GB"/>
        </w:rPr>
        <w:t>those</w:t>
      </w:r>
      <w:r w:rsidRPr="000050B8">
        <w:rPr>
          <w:lang w:val="en-GB"/>
        </w:rPr>
        <w:t xml:space="preserve"> from Model 1. However, and as expected with the introduction of the lagged innovation variable, some associations are weakened. The </w:t>
      </w:r>
      <w:r>
        <w:rPr>
          <w:lang w:val="en-GB"/>
        </w:rPr>
        <w:t>association between</w:t>
      </w:r>
      <w:r w:rsidRPr="000050B8">
        <w:rPr>
          <w:lang w:val="en-GB"/>
        </w:rPr>
        <w:t xml:space="preserve"> urban location </w:t>
      </w:r>
      <w:r>
        <w:rPr>
          <w:lang w:val="en-GB"/>
        </w:rPr>
        <w:t>and</w:t>
      </w:r>
      <w:r w:rsidRPr="000050B8">
        <w:rPr>
          <w:lang w:val="en-GB"/>
        </w:rPr>
        <w:t xml:space="preserve"> new-to-market product innovation disappear</w:t>
      </w:r>
      <w:r>
        <w:rPr>
          <w:lang w:val="en-GB"/>
        </w:rPr>
        <w:t>s</w:t>
      </w:r>
      <w:r w:rsidRPr="000050B8">
        <w:rPr>
          <w:lang w:val="en-GB"/>
        </w:rPr>
        <w:t>, while th</w:t>
      </w:r>
      <w:r>
        <w:rPr>
          <w:lang w:val="en-GB"/>
        </w:rPr>
        <w:t>at with</w:t>
      </w:r>
      <w:r w:rsidRPr="000050B8">
        <w:rPr>
          <w:lang w:val="en-GB"/>
        </w:rPr>
        <w:t xml:space="preserve"> product innovation in general </w:t>
      </w:r>
      <w:r>
        <w:rPr>
          <w:lang w:val="en-GB"/>
        </w:rPr>
        <w:t>is</w:t>
      </w:r>
      <w:r w:rsidRPr="000050B8">
        <w:rPr>
          <w:lang w:val="en-GB"/>
        </w:rPr>
        <w:t xml:space="preserve"> now only significant at the 90 percent confidence level. For regional collaboration, the association with process innovation also vanishes, leaving organisational innovation as the only outcome significantly positively </w:t>
      </w:r>
      <w:r>
        <w:rPr>
          <w:lang w:val="en-GB"/>
        </w:rPr>
        <w:t>related to</w:t>
      </w:r>
      <w:r w:rsidRPr="000050B8">
        <w:rPr>
          <w:lang w:val="en-GB"/>
        </w:rPr>
        <w:t xml:space="preserve"> </w:t>
      </w:r>
      <w:r w:rsidRPr="000050B8">
        <w:rPr>
          <w:lang w:val="en-GB"/>
        </w:rPr>
        <w:lastRenderedPageBreak/>
        <w:t xml:space="preserve">collaboration with regional partners. In addition, there is now a significant </w:t>
      </w:r>
      <w:r w:rsidRPr="000050B8">
        <w:rPr>
          <w:i/>
          <w:lang w:val="en-GB"/>
        </w:rPr>
        <w:t>negative</w:t>
      </w:r>
      <w:r w:rsidRPr="000050B8">
        <w:rPr>
          <w:lang w:val="en-GB"/>
        </w:rPr>
        <w:t xml:space="preserve"> association at the 90 percent confidence level between regional collaboration and the likelihood of product innovation. For foreign collaboration, the association with product innovation in general remains, while the </w:t>
      </w:r>
      <w:r>
        <w:rPr>
          <w:lang w:val="en-GB"/>
        </w:rPr>
        <w:t xml:space="preserve">coefficient for </w:t>
      </w:r>
      <w:r w:rsidRPr="000050B8">
        <w:rPr>
          <w:lang w:val="en-GB"/>
        </w:rPr>
        <w:t xml:space="preserve">new-to-market product innovation and marketing innovation is now only significant at the 90 percent confidence level. The lagged dependent variable itself is strongly and significantly associated with all types of innovation, indicating </w:t>
      </w:r>
      <w:r>
        <w:rPr>
          <w:lang w:val="en-GB"/>
        </w:rPr>
        <w:t>that</w:t>
      </w:r>
      <w:r w:rsidRPr="000050B8">
        <w:rPr>
          <w:lang w:val="en-GB"/>
        </w:rPr>
        <w:t xml:space="preserve"> firms that innovate in one period </w:t>
      </w:r>
      <w:r>
        <w:rPr>
          <w:lang w:val="en-GB"/>
        </w:rPr>
        <w:t xml:space="preserve">often </w:t>
      </w:r>
      <w:r w:rsidRPr="000050B8">
        <w:rPr>
          <w:lang w:val="en-GB"/>
        </w:rPr>
        <w:t>remain innovative over time. For product innovation in general, having innovated in the preceding period is associated with 28</w:t>
      </w:r>
      <w:r>
        <w:rPr>
          <w:lang w:val="en-GB"/>
        </w:rPr>
        <w:t>1</w:t>
      </w:r>
      <w:r w:rsidRPr="000050B8">
        <w:rPr>
          <w:lang w:val="en-GB"/>
        </w:rPr>
        <w:t xml:space="preserve"> percent higher </w:t>
      </w:r>
      <w:r>
        <w:rPr>
          <w:lang w:val="en-GB"/>
        </w:rPr>
        <w:t>odds</w:t>
      </w:r>
      <w:r w:rsidRPr="000050B8">
        <w:rPr>
          <w:lang w:val="en-GB"/>
        </w:rPr>
        <w:t xml:space="preserve"> of innovation, controlling for other characteristics. The </w:t>
      </w:r>
      <w:r>
        <w:rPr>
          <w:lang w:val="en-GB"/>
        </w:rPr>
        <w:t>signs</w:t>
      </w:r>
      <w:r w:rsidRPr="000050B8">
        <w:rPr>
          <w:lang w:val="en-GB"/>
        </w:rPr>
        <w:t xml:space="preserve"> of control variables mostly stay the same, although the </w:t>
      </w:r>
      <w:r>
        <w:rPr>
          <w:lang w:val="en-GB"/>
        </w:rPr>
        <w:t>odds ratio</w:t>
      </w:r>
      <w:r w:rsidRPr="000050B8">
        <w:rPr>
          <w:lang w:val="en-GB"/>
        </w:rPr>
        <w:t>s for R&amp;D expenditure in particular are weakened by the introduction of the lagged dependent variable.</w:t>
      </w:r>
    </w:p>
    <w:p w14:paraId="4EF0276A" w14:textId="03D07FFF" w:rsidR="004B3AB5" w:rsidRPr="000050B8" w:rsidRDefault="004B3AB5" w:rsidP="003935E7">
      <w:pPr>
        <w:spacing w:line="480" w:lineRule="auto"/>
        <w:rPr>
          <w:lang w:val="en-GB"/>
        </w:rPr>
      </w:pPr>
      <w:r w:rsidRPr="000050B8">
        <w:rPr>
          <w:lang w:val="en-GB"/>
        </w:rPr>
        <w:t>Table 4 provides a further robustness check by restricting Model 2 only to firms that are innovation</w:t>
      </w:r>
      <w:r>
        <w:rPr>
          <w:lang w:val="en-GB"/>
        </w:rPr>
        <w:t>-</w:t>
      </w:r>
      <w:r w:rsidRPr="000050B8">
        <w:rPr>
          <w:lang w:val="en-GB"/>
        </w:rPr>
        <w:t>active. Innovation-active firms are defined as those reporting positive innovation expenditure, collaboration in innovation processes, or any kind of innovation outcome (cf. e.g. Herstad et al. 2014). In total, 38</w:t>
      </w:r>
      <w:r>
        <w:rPr>
          <w:lang w:val="en-GB"/>
        </w:rPr>
        <w:t>61</w:t>
      </w:r>
      <w:r w:rsidRPr="000050B8">
        <w:rPr>
          <w:lang w:val="en-GB"/>
        </w:rPr>
        <w:t xml:space="preserve"> of the original 638</w:t>
      </w:r>
      <w:r>
        <w:rPr>
          <w:lang w:val="en-GB"/>
        </w:rPr>
        <w:t>2</w:t>
      </w:r>
      <w:r w:rsidRPr="000050B8">
        <w:rPr>
          <w:lang w:val="en-GB"/>
        </w:rPr>
        <w:t xml:space="preserve"> observations were classified as innovation-active and </w:t>
      </w:r>
      <w:r>
        <w:rPr>
          <w:lang w:val="en-GB"/>
        </w:rPr>
        <w:t>included</w:t>
      </w:r>
      <w:r w:rsidRPr="000050B8">
        <w:rPr>
          <w:lang w:val="en-GB"/>
        </w:rPr>
        <w:t xml:space="preserve"> in this section of the analysis.</w:t>
      </w:r>
    </w:p>
    <w:p w14:paraId="2A1CA0EB" w14:textId="77777777" w:rsidR="004B3AB5" w:rsidRPr="000050B8" w:rsidRDefault="004B3AB5" w:rsidP="003935E7">
      <w:pPr>
        <w:spacing w:line="480" w:lineRule="auto"/>
        <w:rPr>
          <w:lang w:val="en-GB"/>
        </w:rPr>
      </w:pPr>
    </w:p>
    <w:p w14:paraId="0115FC82" w14:textId="77777777" w:rsidR="00AF2E13" w:rsidRDefault="00AF2E13">
      <w:pPr>
        <w:spacing w:after="0" w:line="240" w:lineRule="auto"/>
        <w:jc w:val="left"/>
        <w:rPr>
          <w:b/>
          <w:caps/>
          <w:lang w:val="en-GB"/>
        </w:rPr>
      </w:pPr>
      <w:r>
        <w:rPr>
          <w:b/>
          <w:caps/>
          <w:lang w:val="en-GB"/>
        </w:rPr>
        <w:br w:type="page"/>
      </w:r>
    </w:p>
    <w:p w14:paraId="438E2A1C" w14:textId="356865CB" w:rsidR="000F16C4" w:rsidRPr="00085339" w:rsidRDefault="000F16C4" w:rsidP="000F16C4">
      <w:pPr>
        <w:spacing w:line="240" w:lineRule="auto"/>
        <w:rPr>
          <w:b/>
          <w:lang w:val="en-GB"/>
        </w:rPr>
      </w:pPr>
      <w:r w:rsidRPr="00EB63F1">
        <w:rPr>
          <w:b/>
          <w:caps/>
          <w:lang w:val="en-GB"/>
        </w:rPr>
        <w:lastRenderedPageBreak/>
        <w:t>Table</w:t>
      </w:r>
      <w:r w:rsidRPr="00085339">
        <w:rPr>
          <w:b/>
          <w:szCs w:val="24"/>
          <w:lang w:val="en-GB"/>
        </w:rPr>
        <w:t xml:space="preserve"> 4: Logit regression results for innovation-active firms, Model 2</w:t>
      </w:r>
    </w:p>
    <w:tbl>
      <w:tblPr>
        <w:tblW w:w="5615" w:type="pct"/>
        <w:jc w:val="center"/>
        <w:tblCellMar>
          <w:left w:w="75" w:type="dxa"/>
          <w:right w:w="75" w:type="dxa"/>
        </w:tblCellMar>
        <w:tblLook w:val="0000" w:firstRow="0" w:lastRow="0" w:firstColumn="0" w:lastColumn="0" w:noHBand="0" w:noVBand="0"/>
      </w:tblPr>
      <w:tblGrid>
        <w:gridCol w:w="2939"/>
        <w:gridCol w:w="1434"/>
        <w:gridCol w:w="1548"/>
        <w:gridCol w:w="1434"/>
        <w:gridCol w:w="1563"/>
        <w:gridCol w:w="1432"/>
      </w:tblGrid>
      <w:tr w:rsidR="000F16C4" w14:paraId="1CF15B54" w14:textId="77777777" w:rsidTr="000972AF">
        <w:trPr>
          <w:jc w:val="center"/>
        </w:trPr>
        <w:tc>
          <w:tcPr>
            <w:tcW w:w="1425" w:type="pct"/>
            <w:tcBorders>
              <w:top w:val="single" w:sz="6" w:space="0" w:color="auto"/>
              <w:left w:val="nil"/>
              <w:bottom w:val="nil"/>
              <w:right w:val="nil"/>
            </w:tcBorders>
          </w:tcPr>
          <w:p w14:paraId="3FF25056" w14:textId="77777777" w:rsidR="000F16C4" w:rsidRPr="00085339" w:rsidRDefault="000F16C4" w:rsidP="000972AF">
            <w:pPr>
              <w:widowControl w:val="0"/>
              <w:autoSpaceDE w:val="0"/>
              <w:autoSpaceDN w:val="0"/>
              <w:adjustRightInd w:val="0"/>
              <w:spacing w:after="0" w:line="240" w:lineRule="auto"/>
              <w:rPr>
                <w:szCs w:val="24"/>
                <w:lang w:val="en-GB"/>
              </w:rPr>
            </w:pPr>
          </w:p>
        </w:tc>
        <w:tc>
          <w:tcPr>
            <w:tcW w:w="698" w:type="pct"/>
            <w:tcBorders>
              <w:top w:val="single" w:sz="6" w:space="0" w:color="auto"/>
              <w:left w:val="nil"/>
              <w:bottom w:val="nil"/>
              <w:right w:val="nil"/>
            </w:tcBorders>
          </w:tcPr>
          <w:p w14:paraId="4E00B6C1" w14:textId="77777777" w:rsidR="000F16C4" w:rsidRDefault="000F16C4" w:rsidP="000972AF">
            <w:pPr>
              <w:widowControl w:val="0"/>
              <w:autoSpaceDE w:val="0"/>
              <w:autoSpaceDN w:val="0"/>
              <w:adjustRightInd w:val="0"/>
              <w:spacing w:after="0" w:line="240" w:lineRule="auto"/>
              <w:jc w:val="center"/>
              <w:rPr>
                <w:szCs w:val="24"/>
              </w:rPr>
            </w:pPr>
            <w:r>
              <w:rPr>
                <w:szCs w:val="24"/>
              </w:rPr>
              <w:t>(1)</w:t>
            </w:r>
          </w:p>
        </w:tc>
        <w:tc>
          <w:tcPr>
            <w:tcW w:w="753" w:type="pct"/>
            <w:tcBorders>
              <w:top w:val="single" w:sz="6" w:space="0" w:color="auto"/>
              <w:left w:val="nil"/>
              <w:bottom w:val="nil"/>
              <w:right w:val="nil"/>
            </w:tcBorders>
          </w:tcPr>
          <w:p w14:paraId="0C6FD6D8" w14:textId="77777777" w:rsidR="000F16C4" w:rsidRDefault="000F16C4" w:rsidP="000972AF">
            <w:pPr>
              <w:widowControl w:val="0"/>
              <w:autoSpaceDE w:val="0"/>
              <w:autoSpaceDN w:val="0"/>
              <w:adjustRightInd w:val="0"/>
              <w:spacing w:after="0" w:line="240" w:lineRule="auto"/>
              <w:jc w:val="center"/>
              <w:rPr>
                <w:szCs w:val="24"/>
              </w:rPr>
            </w:pPr>
            <w:r>
              <w:rPr>
                <w:szCs w:val="24"/>
              </w:rPr>
              <w:t>(2)</w:t>
            </w:r>
          </w:p>
        </w:tc>
        <w:tc>
          <w:tcPr>
            <w:tcW w:w="698" w:type="pct"/>
            <w:tcBorders>
              <w:top w:val="single" w:sz="6" w:space="0" w:color="auto"/>
              <w:left w:val="nil"/>
              <w:bottom w:val="nil"/>
              <w:right w:val="nil"/>
            </w:tcBorders>
          </w:tcPr>
          <w:p w14:paraId="3991CFF2" w14:textId="77777777" w:rsidR="000F16C4" w:rsidRDefault="000F16C4" w:rsidP="000972AF">
            <w:pPr>
              <w:widowControl w:val="0"/>
              <w:autoSpaceDE w:val="0"/>
              <w:autoSpaceDN w:val="0"/>
              <w:adjustRightInd w:val="0"/>
              <w:spacing w:after="0" w:line="240" w:lineRule="auto"/>
              <w:jc w:val="center"/>
              <w:rPr>
                <w:szCs w:val="24"/>
              </w:rPr>
            </w:pPr>
            <w:r>
              <w:rPr>
                <w:szCs w:val="24"/>
              </w:rPr>
              <w:t>(3)</w:t>
            </w:r>
          </w:p>
        </w:tc>
        <w:tc>
          <w:tcPr>
            <w:tcW w:w="728" w:type="pct"/>
            <w:tcBorders>
              <w:top w:val="single" w:sz="6" w:space="0" w:color="auto"/>
              <w:left w:val="nil"/>
              <w:bottom w:val="nil"/>
              <w:right w:val="nil"/>
            </w:tcBorders>
          </w:tcPr>
          <w:p w14:paraId="29E34896" w14:textId="77777777" w:rsidR="000F16C4" w:rsidRDefault="000F16C4" w:rsidP="000972AF">
            <w:pPr>
              <w:widowControl w:val="0"/>
              <w:autoSpaceDE w:val="0"/>
              <w:autoSpaceDN w:val="0"/>
              <w:adjustRightInd w:val="0"/>
              <w:spacing w:after="0" w:line="240" w:lineRule="auto"/>
              <w:jc w:val="center"/>
              <w:rPr>
                <w:szCs w:val="24"/>
              </w:rPr>
            </w:pPr>
            <w:r>
              <w:rPr>
                <w:szCs w:val="24"/>
              </w:rPr>
              <w:t>(4)</w:t>
            </w:r>
          </w:p>
        </w:tc>
        <w:tc>
          <w:tcPr>
            <w:tcW w:w="697" w:type="pct"/>
            <w:tcBorders>
              <w:top w:val="single" w:sz="6" w:space="0" w:color="auto"/>
              <w:left w:val="nil"/>
              <w:bottom w:val="nil"/>
              <w:right w:val="nil"/>
            </w:tcBorders>
          </w:tcPr>
          <w:p w14:paraId="0F647BE3" w14:textId="77777777" w:rsidR="000F16C4" w:rsidRDefault="000F16C4" w:rsidP="000972AF">
            <w:pPr>
              <w:widowControl w:val="0"/>
              <w:autoSpaceDE w:val="0"/>
              <w:autoSpaceDN w:val="0"/>
              <w:adjustRightInd w:val="0"/>
              <w:spacing w:after="0" w:line="240" w:lineRule="auto"/>
              <w:jc w:val="center"/>
              <w:rPr>
                <w:szCs w:val="24"/>
              </w:rPr>
            </w:pPr>
            <w:r>
              <w:rPr>
                <w:szCs w:val="24"/>
              </w:rPr>
              <w:t>(5)</w:t>
            </w:r>
          </w:p>
        </w:tc>
      </w:tr>
      <w:tr w:rsidR="000F16C4" w14:paraId="64C5F9D5" w14:textId="77777777" w:rsidTr="000972AF">
        <w:trPr>
          <w:jc w:val="center"/>
        </w:trPr>
        <w:tc>
          <w:tcPr>
            <w:tcW w:w="1425" w:type="pct"/>
            <w:tcBorders>
              <w:top w:val="nil"/>
              <w:left w:val="nil"/>
              <w:bottom w:val="single" w:sz="6" w:space="0" w:color="auto"/>
              <w:right w:val="nil"/>
            </w:tcBorders>
          </w:tcPr>
          <w:p w14:paraId="72497144" w14:textId="77777777" w:rsidR="000F16C4" w:rsidRDefault="000F16C4" w:rsidP="000972AF">
            <w:pPr>
              <w:widowControl w:val="0"/>
              <w:autoSpaceDE w:val="0"/>
              <w:autoSpaceDN w:val="0"/>
              <w:adjustRightInd w:val="0"/>
              <w:spacing w:after="0" w:line="240" w:lineRule="auto"/>
              <w:rPr>
                <w:szCs w:val="24"/>
              </w:rPr>
            </w:pPr>
            <w:r>
              <w:rPr>
                <w:szCs w:val="24"/>
              </w:rPr>
              <w:t>VARIABLES</w:t>
            </w:r>
          </w:p>
        </w:tc>
        <w:tc>
          <w:tcPr>
            <w:tcW w:w="698" w:type="pct"/>
            <w:tcBorders>
              <w:top w:val="nil"/>
              <w:left w:val="nil"/>
              <w:bottom w:val="single" w:sz="6" w:space="0" w:color="auto"/>
              <w:right w:val="nil"/>
            </w:tcBorders>
          </w:tcPr>
          <w:p w14:paraId="068B300C" w14:textId="77777777" w:rsidR="000F16C4" w:rsidRDefault="000F16C4" w:rsidP="000972AF">
            <w:pPr>
              <w:widowControl w:val="0"/>
              <w:autoSpaceDE w:val="0"/>
              <w:autoSpaceDN w:val="0"/>
              <w:adjustRightInd w:val="0"/>
              <w:spacing w:after="0" w:line="240" w:lineRule="auto"/>
              <w:jc w:val="center"/>
              <w:rPr>
                <w:szCs w:val="24"/>
              </w:rPr>
            </w:pPr>
            <w:r>
              <w:rPr>
                <w:szCs w:val="24"/>
              </w:rPr>
              <w:t>Product innovation</w:t>
            </w:r>
          </w:p>
        </w:tc>
        <w:tc>
          <w:tcPr>
            <w:tcW w:w="753" w:type="pct"/>
            <w:tcBorders>
              <w:top w:val="nil"/>
              <w:left w:val="nil"/>
              <w:bottom w:val="single" w:sz="6" w:space="0" w:color="auto"/>
              <w:right w:val="nil"/>
            </w:tcBorders>
          </w:tcPr>
          <w:p w14:paraId="24BEF708" w14:textId="77777777" w:rsidR="000F16C4" w:rsidRDefault="000F16C4" w:rsidP="000972AF">
            <w:pPr>
              <w:widowControl w:val="0"/>
              <w:autoSpaceDE w:val="0"/>
              <w:autoSpaceDN w:val="0"/>
              <w:adjustRightInd w:val="0"/>
              <w:spacing w:after="0" w:line="240" w:lineRule="auto"/>
              <w:jc w:val="center"/>
              <w:rPr>
                <w:szCs w:val="24"/>
              </w:rPr>
            </w:pPr>
            <w:r>
              <w:rPr>
                <w:szCs w:val="24"/>
              </w:rPr>
              <w:t>New-to-market innovation</w:t>
            </w:r>
          </w:p>
        </w:tc>
        <w:tc>
          <w:tcPr>
            <w:tcW w:w="698" w:type="pct"/>
            <w:tcBorders>
              <w:top w:val="nil"/>
              <w:left w:val="nil"/>
              <w:bottom w:val="single" w:sz="6" w:space="0" w:color="auto"/>
              <w:right w:val="nil"/>
            </w:tcBorders>
          </w:tcPr>
          <w:p w14:paraId="4D17AA00" w14:textId="77777777" w:rsidR="000F16C4" w:rsidRDefault="000F16C4" w:rsidP="000972AF">
            <w:pPr>
              <w:widowControl w:val="0"/>
              <w:autoSpaceDE w:val="0"/>
              <w:autoSpaceDN w:val="0"/>
              <w:adjustRightInd w:val="0"/>
              <w:spacing w:after="0" w:line="240" w:lineRule="auto"/>
              <w:jc w:val="center"/>
              <w:rPr>
                <w:szCs w:val="24"/>
              </w:rPr>
            </w:pPr>
            <w:r>
              <w:rPr>
                <w:szCs w:val="24"/>
              </w:rPr>
              <w:t>Process innovation</w:t>
            </w:r>
          </w:p>
        </w:tc>
        <w:tc>
          <w:tcPr>
            <w:tcW w:w="728" w:type="pct"/>
            <w:tcBorders>
              <w:top w:val="nil"/>
              <w:left w:val="nil"/>
              <w:bottom w:val="single" w:sz="6" w:space="0" w:color="auto"/>
              <w:right w:val="nil"/>
            </w:tcBorders>
          </w:tcPr>
          <w:p w14:paraId="1FE18F67" w14:textId="77777777" w:rsidR="000F16C4" w:rsidRDefault="000F16C4" w:rsidP="000972AF">
            <w:pPr>
              <w:widowControl w:val="0"/>
              <w:autoSpaceDE w:val="0"/>
              <w:autoSpaceDN w:val="0"/>
              <w:adjustRightInd w:val="0"/>
              <w:spacing w:after="0" w:line="240" w:lineRule="auto"/>
              <w:jc w:val="center"/>
              <w:rPr>
                <w:szCs w:val="24"/>
              </w:rPr>
            </w:pPr>
            <w:r>
              <w:rPr>
                <w:szCs w:val="24"/>
              </w:rPr>
              <w:t>Organisational innovation</w:t>
            </w:r>
          </w:p>
        </w:tc>
        <w:tc>
          <w:tcPr>
            <w:tcW w:w="697" w:type="pct"/>
            <w:tcBorders>
              <w:top w:val="nil"/>
              <w:left w:val="nil"/>
              <w:bottom w:val="single" w:sz="6" w:space="0" w:color="auto"/>
              <w:right w:val="nil"/>
            </w:tcBorders>
          </w:tcPr>
          <w:p w14:paraId="2B472E3F" w14:textId="77777777" w:rsidR="000F16C4" w:rsidRDefault="000F16C4" w:rsidP="000972AF">
            <w:pPr>
              <w:widowControl w:val="0"/>
              <w:autoSpaceDE w:val="0"/>
              <w:autoSpaceDN w:val="0"/>
              <w:adjustRightInd w:val="0"/>
              <w:spacing w:after="0" w:line="240" w:lineRule="auto"/>
              <w:jc w:val="center"/>
              <w:rPr>
                <w:szCs w:val="24"/>
              </w:rPr>
            </w:pPr>
            <w:r>
              <w:rPr>
                <w:szCs w:val="24"/>
              </w:rPr>
              <w:t>Marketing innovation</w:t>
            </w:r>
          </w:p>
        </w:tc>
      </w:tr>
      <w:tr w:rsidR="000F16C4" w14:paraId="65C57DBC" w14:textId="77777777" w:rsidTr="000972AF">
        <w:trPr>
          <w:jc w:val="center"/>
        </w:trPr>
        <w:tc>
          <w:tcPr>
            <w:tcW w:w="1425" w:type="pct"/>
            <w:tcBorders>
              <w:top w:val="nil"/>
              <w:left w:val="nil"/>
              <w:bottom w:val="nil"/>
              <w:right w:val="nil"/>
            </w:tcBorders>
          </w:tcPr>
          <w:p w14:paraId="1A0E3D25" w14:textId="77777777" w:rsidR="000F16C4" w:rsidRDefault="000F16C4" w:rsidP="000972AF">
            <w:pPr>
              <w:widowControl w:val="0"/>
              <w:autoSpaceDE w:val="0"/>
              <w:autoSpaceDN w:val="0"/>
              <w:adjustRightInd w:val="0"/>
              <w:spacing w:after="0" w:line="240" w:lineRule="auto"/>
              <w:rPr>
                <w:szCs w:val="24"/>
              </w:rPr>
            </w:pPr>
          </w:p>
        </w:tc>
        <w:tc>
          <w:tcPr>
            <w:tcW w:w="698" w:type="pct"/>
            <w:tcBorders>
              <w:top w:val="nil"/>
              <w:left w:val="nil"/>
              <w:bottom w:val="nil"/>
              <w:right w:val="nil"/>
            </w:tcBorders>
          </w:tcPr>
          <w:p w14:paraId="2F4C62F9" w14:textId="77777777" w:rsidR="000F16C4" w:rsidRDefault="000F16C4" w:rsidP="000972AF">
            <w:pPr>
              <w:widowControl w:val="0"/>
              <w:autoSpaceDE w:val="0"/>
              <w:autoSpaceDN w:val="0"/>
              <w:adjustRightInd w:val="0"/>
              <w:spacing w:after="0" w:line="240" w:lineRule="auto"/>
              <w:jc w:val="center"/>
              <w:rPr>
                <w:szCs w:val="24"/>
              </w:rPr>
            </w:pPr>
          </w:p>
        </w:tc>
        <w:tc>
          <w:tcPr>
            <w:tcW w:w="753" w:type="pct"/>
            <w:tcBorders>
              <w:top w:val="nil"/>
              <w:left w:val="nil"/>
              <w:bottom w:val="nil"/>
              <w:right w:val="nil"/>
            </w:tcBorders>
          </w:tcPr>
          <w:p w14:paraId="207DBC95" w14:textId="77777777" w:rsidR="000F16C4" w:rsidRDefault="000F16C4" w:rsidP="000972AF">
            <w:pPr>
              <w:widowControl w:val="0"/>
              <w:autoSpaceDE w:val="0"/>
              <w:autoSpaceDN w:val="0"/>
              <w:adjustRightInd w:val="0"/>
              <w:spacing w:after="0" w:line="240" w:lineRule="auto"/>
              <w:jc w:val="center"/>
              <w:rPr>
                <w:szCs w:val="24"/>
              </w:rPr>
            </w:pPr>
          </w:p>
        </w:tc>
        <w:tc>
          <w:tcPr>
            <w:tcW w:w="698" w:type="pct"/>
            <w:tcBorders>
              <w:top w:val="nil"/>
              <w:left w:val="nil"/>
              <w:bottom w:val="nil"/>
              <w:right w:val="nil"/>
            </w:tcBorders>
          </w:tcPr>
          <w:p w14:paraId="12B8569B" w14:textId="77777777" w:rsidR="000F16C4" w:rsidRDefault="000F16C4" w:rsidP="000972AF">
            <w:pPr>
              <w:widowControl w:val="0"/>
              <w:autoSpaceDE w:val="0"/>
              <w:autoSpaceDN w:val="0"/>
              <w:adjustRightInd w:val="0"/>
              <w:spacing w:after="0" w:line="240" w:lineRule="auto"/>
              <w:jc w:val="center"/>
              <w:rPr>
                <w:szCs w:val="24"/>
              </w:rPr>
            </w:pPr>
          </w:p>
        </w:tc>
        <w:tc>
          <w:tcPr>
            <w:tcW w:w="728" w:type="pct"/>
            <w:tcBorders>
              <w:top w:val="nil"/>
              <w:left w:val="nil"/>
              <w:bottom w:val="nil"/>
              <w:right w:val="nil"/>
            </w:tcBorders>
          </w:tcPr>
          <w:p w14:paraId="44DF2DCF" w14:textId="77777777" w:rsidR="000F16C4" w:rsidRDefault="000F16C4" w:rsidP="000972AF">
            <w:pPr>
              <w:widowControl w:val="0"/>
              <w:autoSpaceDE w:val="0"/>
              <w:autoSpaceDN w:val="0"/>
              <w:adjustRightInd w:val="0"/>
              <w:spacing w:after="0" w:line="240" w:lineRule="auto"/>
              <w:jc w:val="center"/>
              <w:rPr>
                <w:szCs w:val="24"/>
              </w:rPr>
            </w:pPr>
          </w:p>
        </w:tc>
        <w:tc>
          <w:tcPr>
            <w:tcW w:w="697" w:type="pct"/>
            <w:tcBorders>
              <w:top w:val="nil"/>
              <w:left w:val="nil"/>
              <w:bottom w:val="nil"/>
              <w:right w:val="nil"/>
            </w:tcBorders>
          </w:tcPr>
          <w:p w14:paraId="40ED2C33" w14:textId="77777777" w:rsidR="000F16C4" w:rsidRDefault="000F16C4" w:rsidP="000972AF">
            <w:pPr>
              <w:widowControl w:val="0"/>
              <w:autoSpaceDE w:val="0"/>
              <w:autoSpaceDN w:val="0"/>
              <w:adjustRightInd w:val="0"/>
              <w:spacing w:after="0" w:line="240" w:lineRule="auto"/>
              <w:jc w:val="center"/>
              <w:rPr>
                <w:szCs w:val="24"/>
              </w:rPr>
            </w:pPr>
          </w:p>
        </w:tc>
      </w:tr>
      <w:tr w:rsidR="000F16C4" w14:paraId="12A79EA9" w14:textId="77777777" w:rsidTr="000972AF">
        <w:trPr>
          <w:jc w:val="center"/>
        </w:trPr>
        <w:tc>
          <w:tcPr>
            <w:tcW w:w="1425" w:type="pct"/>
            <w:tcBorders>
              <w:top w:val="nil"/>
              <w:left w:val="nil"/>
              <w:bottom w:val="nil"/>
              <w:right w:val="nil"/>
            </w:tcBorders>
          </w:tcPr>
          <w:p w14:paraId="64759400" w14:textId="77777777" w:rsidR="000F16C4" w:rsidRDefault="000F16C4" w:rsidP="000972AF">
            <w:pPr>
              <w:widowControl w:val="0"/>
              <w:autoSpaceDE w:val="0"/>
              <w:autoSpaceDN w:val="0"/>
              <w:adjustRightInd w:val="0"/>
              <w:spacing w:after="0" w:line="240" w:lineRule="auto"/>
              <w:rPr>
                <w:szCs w:val="24"/>
              </w:rPr>
            </w:pPr>
            <w:r>
              <w:rPr>
                <w:szCs w:val="24"/>
              </w:rPr>
              <w:t>Innovation t-1</w:t>
            </w:r>
          </w:p>
        </w:tc>
        <w:tc>
          <w:tcPr>
            <w:tcW w:w="698" w:type="pct"/>
            <w:tcBorders>
              <w:top w:val="nil"/>
              <w:left w:val="nil"/>
              <w:bottom w:val="nil"/>
              <w:right w:val="nil"/>
            </w:tcBorders>
          </w:tcPr>
          <w:p w14:paraId="0DBBA3C3" w14:textId="77777777" w:rsidR="000F16C4" w:rsidRDefault="000F16C4" w:rsidP="000972AF">
            <w:pPr>
              <w:widowControl w:val="0"/>
              <w:autoSpaceDE w:val="0"/>
              <w:autoSpaceDN w:val="0"/>
              <w:adjustRightInd w:val="0"/>
              <w:spacing w:after="0" w:line="240" w:lineRule="auto"/>
              <w:jc w:val="center"/>
              <w:rPr>
                <w:szCs w:val="24"/>
              </w:rPr>
            </w:pPr>
            <w:r>
              <w:rPr>
                <w:szCs w:val="24"/>
              </w:rPr>
              <w:t>3.26***</w:t>
            </w:r>
          </w:p>
        </w:tc>
        <w:tc>
          <w:tcPr>
            <w:tcW w:w="753" w:type="pct"/>
            <w:tcBorders>
              <w:top w:val="nil"/>
              <w:left w:val="nil"/>
              <w:bottom w:val="nil"/>
              <w:right w:val="nil"/>
            </w:tcBorders>
          </w:tcPr>
          <w:p w14:paraId="7286288F" w14:textId="77777777" w:rsidR="000F16C4" w:rsidRDefault="000F16C4" w:rsidP="000972AF">
            <w:pPr>
              <w:widowControl w:val="0"/>
              <w:autoSpaceDE w:val="0"/>
              <w:autoSpaceDN w:val="0"/>
              <w:adjustRightInd w:val="0"/>
              <w:spacing w:after="0" w:line="240" w:lineRule="auto"/>
              <w:jc w:val="center"/>
              <w:rPr>
                <w:szCs w:val="24"/>
              </w:rPr>
            </w:pPr>
            <w:r>
              <w:rPr>
                <w:szCs w:val="24"/>
              </w:rPr>
              <w:t>2.80***</w:t>
            </w:r>
          </w:p>
        </w:tc>
        <w:tc>
          <w:tcPr>
            <w:tcW w:w="698" w:type="pct"/>
            <w:tcBorders>
              <w:top w:val="nil"/>
              <w:left w:val="nil"/>
              <w:bottom w:val="nil"/>
              <w:right w:val="nil"/>
            </w:tcBorders>
          </w:tcPr>
          <w:p w14:paraId="1FCEE30C" w14:textId="77777777" w:rsidR="000F16C4" w:rsidRDefault="000F16C4" w:rsidP="000972AF">
            <w:pPr>
              <w:widowControl w:val="0"/>
              <w:autoSpaceDE w:val="0"/>
              <w:autoSpaceDN w:val="0"/>
              <w:adjustRightInd w:val="0"/>
              <w:spacing w:after="0" w:line="240" w:lineRule="auto"/>
              <w:jc w:val="center"/>
              <w:rPr>
                <w:szCs w:val="24"/>
              </w:rPr>
            </w:pPr>
            <w:r>
              <w:rPr>
                <w:szCs w:val="24"/>
              </w:rPr>
              <w:t>2.25***</w:t>
            </w:r>
          </w:p>
        </w:tc>
        <w:tc>
          <w:tcPr>
            <w:tcW w:w="728" w:type="pct"/>
            <w:tcBorders>
              <w:top w:val="nil"/>
              <w:left w:val="nil"/>
              <w:bottom w:val="nil"/>
              <w:right w:val="nil"/>
            </w:tcBorders>
          </w:tcPr>
          <w:p w14:paraId="5EE908D1" w14:textId="77777777" w:rsidR="000F16C4" w:rsidRDefault="000F16C4" w:rsidP="000972AF">
            <w:pPr>
              <w:widowControl w:val="0"/>
              <w:autoSpaceDE w:val="0"/>
              <w:autoSpaceDN w:val="0"/>
              <w:adjustRightInd w:val="0"/>
              <w:spacing w:after="0" w:line="240" w:lineRule="auto"/>
              <w:jc w:val="center"/>
              <w:rPr>
                <w:szCs w:val="24"/>
              </w:rPr>
            </w:pPr>
            <w:r>
              <w:rPr>
                <w:szCs w:val="24"/>
              </w:rPr>
              <w:t>1.68***</w:t>
            </w:r>
          </w:p>
        </w:tc>
        <w:tc>
          <w:tcPr>
            <w:tcW w:w="697" w:type="pct"/>
            <w:tcBorders>
              <w:top w:val="nil"/>
              <w:left w:val="nil"/>
              <w:bottom w:val="nil"/>
              <w:right w:val="nil"/>
            </w:tcBorders>
          </w:tcPr>
          <w:p w14:paraId="2D042261" w14:textId="77777777" w:rsidR="000F16C4" w:rsidRDefault="000F16C4" w:rsidP="000972AF">
            <w:pPr>
              <w:widowControl w:val="0"/>
              <w:autoSpaceDE w:val="0"/>
              <w:autoSpaceDN w:val="0"/>
              <w:adjustRightInd w:val="0"/>
              <w:spacing w:after="0" w:line="240" w:lineRule="auto"/>
              <w:jc w:val="center"/>
              <w:rPr>
                <w:szCs w:val="24"/>
              </w:rPr>
            </w:pPr>
            <w:r>
              <w:rPr>
                <w:szCs w:val="24"/>
              </w:rPr>
              <w:t>2.78***</w:t>
            </w:r>
          </w:p>
        </w:tc>
      </w:tr>
      <w:tr w:rsidR="000F16C4" w14:paraId="582F9D44" w14:textId="77777777" w:rsidTr="000972AF">
        <w:trPr>
          <w:jc w:val="center"/>
        </w:trPr>
        <w:tc>
          <w:tcPr>
            <w:tcW w:w="1425" w:type="pct"/>
            <w:tcBorders>
              <w:top w:val="nil"/>
              <w:left w:val="nil"/>
              <w:bottom w:val="nil"/>
              <w:right w:val="nil"/>
            </w:tcBorders>
          </w:tcPr>
          <w:p w14:paraId="437E6E72" w14:textId="77777777" w:rsidR="000F16C4" w:rsidRDefault="000F16C4" w:rsidP="000972AF">
            <w:pPr>
              <w:widowControl w:val="0"/>
              <w:autoSpaceDE w:val="0"/>
              <w:autoSpaceDN w:val="0"/>
              <w:adjustRightInd w:val="0"/>
              <w:spacing w:after="0" w:line="240" w:lineRule="auto"/>
              <w:rPr>
                <w:szCs w:val="24"/>
              </w:rPr>
            </w:pPr>
          </w:p>
        </w:tc>
        <w:tc>
          <w:tcPr>
            <w:tcW w:w="698" w:type="pct"/>
            <w:tcBorders>
              <w:top w:val="nil"/>
              <w:left w:val="nil"/>
              <w:bottom w:val="nil"/>
              <w:right w:val="nil"/>
            </w:tcBorders>
          </w:tcPr>
          <w:p w14:paraId="645FD5F7" w14:textId="77777777" w:rsidR="000F16C4" w:rsidRDefault="000F16C4" w:rsidP="000972AF">
            <w:pPr>
              <w:widowControl w:val="0"/>
              <w:autoSpaceDE w:val="0"/>
              <w:autoSpaceDN w:val="0"/>
              <w:adjustRightInd w:val="0"/>
              <w:spacing w:after="0" w:line="240" w:lineRule="auto"/>
              <w:jc w:val="center"/>
              <w:rPr>
                <w:szCs w:val="24"/>
              </w:rPr>
            </w:pPr>
            <w:r>
              <w:rPr>
                <w:szCs w:val="24"/>
              </w:rPr>
              <w:t>(0.28)</w:t>
            </w:r>
          </w:p>
        </w:tc>
        <w:tc>
          <w:tcPr>
            <w:tcW w:w="753" w:type="pct"/>
            <w:tcBorders>
              <w:top w:val="nil"/>
              <w:left w:val="nil"/>
              <w:bottom w:val="nil"/>
              <w:right w:val="nil"/>
            </w:tcBorders>
          </w:tcPr>
          <w:p w14:paraId="4BA05AAB" w14:textId="77777777" w:rsidR="000F16C4" w:rsidRDefault="000F16C4" w:rsidP="000972AF">
            <w:pPr>
              <w:widowControl w:val="0"/>
              <w:autoSpaceDE w:val="0"/>
              <w:autoSpaceDN w:val="0"/>
              <w:adjustRightInd w:val="0"/>
              <w:spacing w:after="0" w:line="240" w:lineRule="auto"/>
              <w:jc w:val="center"/>
              <w:rPr>
                <w:szCs w:val="24"/>
              </w:rPr>
            </w:pPr>
            <w:r>
              <w:rPr>
                <w:szCs w:val="24"/>
              </w:rPr>
              <w:t>(0.25)</w:t>
            </w:r>
          </w:p>
        </w:tc>
        <w:tc>
          <w:tcPr>
            <w:tcW w:w="698" w:type="pct"/>
            <w:tcBorders>
              <w:top w:val="nil"/>
              <w:left w:val="nil"/>
              <w:bottom w:val="nil"/>
              <w:right w:val="nil"/>
            </w:tcBorders>
          </w:tcPr>
          <w:p w14:paraId="61C32836" w14:textId="77777777" w:rsidR="000F16C4" w:rsidRDefault="000F16C4" w:rsidP="000972AF">
            <w:pPr>
              <w:widowControl w:val="0"/>
              <w:autoSpaceDE w:val="0"/>
              <w:autoSpaceDN w:val="0"/>
              <w:adjustRightInd w:val="0"/>
              <w:spacing w:after="0" w:line="240" w:lineRule="auto"/>
              <w:jc w:val="center"/>
              <w:rPr>
                <w:szCs w:val="24"/>
              </w:rPr>
            </w:pPr>
            <w:r>
              <w:rPr>
                <w:szCs w:val="24"/>
              </w:rPr>
              <w:t>(0.18)</w:t>
            </w:r>
          </w:p>
        </w:tc>
        <w:tc>
          <w:tcPr>
            <w:tcW w:w="728" w:type="pct"/>
            <w:tcBorders>
              <w:top w:val="nil"/>
              <w:left w:val="nil"/>
              <w:bottom w:val="nil"/>
              <w:right w:val="nil"/>
            </w:tcBorders>
          </w:tcPr>
          <w:p w14:paraId="16EA9482" w14:textId="77777777" w:rsidR="000F16C4" w:rsidRDefault="000F16C4" w:rsidP="000972AF">
            <w:pPr>
              <w:widowControl w:val="0"/>
              <w:autoSpaceDE w:val="0"/>
              <w:autoSpaceDN w:val="0"/>
              <w:adjustRightInd w:val="0"/>
              <w:spacing w:after="0" w:line="240" w:lineRule="auto"/>
              <w:jc w:val="center"/>
              <w:rPr>
                <w:szCs w:val="24"/>
              </w:rPr>
            </w:pPr>
            <w:r>
              <w:rPr>
                <w:szCs w:val="24"/>
              </w:rPr>
              <w:t>(0.14)</w:t>
            </w:r>
          </w:p>
        </w:tc>
        <w:tc>
          <w:tcPr>
            <w:tcW w:w="697" w:type="pct"/>
            <w:tcBorders>
              <w:top w:val="nil"/>
              <w:left w:val="nil"/>
              <w:bottom w:val="nil"/>
              <w:right w:val="nil"/>
            </w:tcBorders>
          </w:tcPr>
          <w:p w14:paraId="4050007D" w14:textId="77777777" w:rsidR="000F16C4" w:rsidRDefault="000F16C4" w:rsidP="000972AF">
            <w:pPr>
              <w:widowControl w:val="0"/>
              <w:autoSpaceDE w:val="0"/>
              <w:autoSpaceDN w:val="0"/>
              <w:adjustRightInd w:val="0"/>
              <w:spacing w:after="0" w:line="240" w:lineRule="auto"/>
              <w:jc w:val="center"/>
              <w:rPr>
                <w:szCs w:val="24"/>
              </w:rPr>
            </w:pPr>
            <w:r>
              <w:rPr>
                <w:szCs w:val="24"/>
              </w:rPr>
              <w:t>(0.23)</w:t>
            </w:r>
          </w:p>
        </w:tc>
      </w:tr>
      <w:tr w:rsidR="000F16C4" w14:paraId="0473726F" w14:textId="77777777" w:rsidTr="000972AF">
        <w:trPr>
          <w:jc w:val="center"/>
        </w:trPr>
        <w:tc>
          <w:tcPr>
            <w:tcW w:w="1425" w:type="pct"/>
            <w:tcBorders>
              <w:top w:val="nil"/>
              <w:left w:val="nil"/>
              <w:bottom w:val="nil"/>
              <w:right w:val="nil"/>
            </w:tcBorders>
          </w:tcPr>
          <w:p w14:paraId="35B11C16" w14:textId="77777777" w:rsidR="000F16C4" w:rsidRDefault="000F16C4" w:rsidP="000972AF">
            <w:pPr>
              <w:widowControl w:val="0"/>
              <w:autoSpaceDE w:val="0"/>
              <w:autoSpaceDN w:val="0"/>
              <w:adjustRightInd w:val="0"/>
              <w:spacing w:after="0" w:line="240" w:lineRule="auto"/>
              <w:rPr>
                <w:szCs w:val="24"/>
              </w:rPr>
            </w:pPr>
            <w:r>
              <w:rPr>
                <w:szCs w:val="24"/>
              </w:rPr>
              <w:t>Regional partners</w:t>
            </w:r>
          </w:p>
        </w:tc>
        <w:tc>
          <w:tcPr>
            <w:tcW w:w="698" w:type="pct"/>
            <w:tcBorders>
              <w:top w:val="nil"/>
              <w:left w:val="nil"/>
              <w:bottom w:val="nil"/>
              <w:right w:val="nil"/>
            </w:tcBorders>
          </w:tcPr>
          <w:p w14:paraId="668F3E6C" w14:textId="77777777" w:rsidR="000F16C4" w:rsidRDefault="000F16C4" w:rsidP="000972AF">
            <w:pPr>
              <w:widowControl w:val="0"/>
              <w:autoSpaceDE w:val="0"/>
              <w:autoSpaceDN w:val="0"/>
              <w:adjustRightInd w:val="0"/>
              <w:spacing w:after="0" w:line="240" w:lineRule="auto"/>
              <w:jc w:val="center"/>
              <w:rPr>
                <w:szCs w:val="24"/>
              </w:rPr>
            </w:pPr>
            <w:r>
              <w:rPr>
                <w:szCs w:val="24"/>
              </w:rPr>
              <w:t>0.95+</w:t>
            </w:r>
          </w:p>
        </w:tc>
        <w:tc>
          <w:tcPr>
            <w:tcW w:w="753" w:type="pct"/>
            <w:tcBorders>
              <w:top w:val="nil"/>
              <w:left w:val="nil"/>
              <w:bottom w:val="nil"/>
              <w:right w:val="nil"/>
            </w:tcBorders>
          </w:tcPr>
          <w:p w14:paraId="205AAB8C" w14:textId="77777777" w:rsidR="000F16C4" w:rsidRDefault="000F16C4" w:rsidP="000972AF">
            <w:pPr>
              <w:widowControl w:val="0"/>
              <w:autoSpaceDE w:val="0"/>
              <w:autoSpaceDN w:val="0"/>
              <w:adjustRightInd w:val="0"/>
              <w:spacing w:after="0" w:line="240" w:lineRule="auto"/>
              <w:jc w:val="center"/>
              <w:rPr>
                <w:szCs w:val="24"/>
              </w:rPr>
            </w:pPr>
            <w:r>
              <w:rPr>
                <w:szCs w:val="24"/>
              </w:rPr>
              <w:t>0.96</w:t>
            </w:r>
          </w:p>
        </w:tc>
        <w:tc>
          <w:tcPr>
            <w:tcW w:w="698" w:type="pct"/>
            <w:tcBorders>
              <w:top w:val="nil"/>
              <w:left w:val="nil"/>
              <w:bottom w:val="nil"/>
              <w:right w:val="nil"/>
            </w:tcBorders>
          </w:tcPr>
          <w:p w14:paraId="5173EC6E" w14:textId="77777777" w:rsidR="000F16C4" w:rsidRDefault="000F16C4" w:rsidP="000972AF">
            <w:pPr>
              <w:widowControl w:val="0"/>
              <w:autoSpaceDE w:val="0"/>
              <w:autoSpaceDN w:val="0"/>
              <w:adjustRightInd w:val="0"/>
              <w:spacing w:after="0" w:line="240" w:lineRule="auto"/>
              <w:jc w:val="center"/>
              <w:rPr>
                <w:szCs w:val="24"/>
              </w:rPr>
            </w:pPr>
            <w:r>
              <w:rPr>
                <w:szCs w:val="24"/>
              </w:rPr>
              <w:t>1.04</w:t>
            </w:r>
          </w:p>
        </w:tc>
        <w:tc>
          <w:tcPr>
            <w:tcW w:w="728" w:type="pct"/>
            <w:tcBorders>
              <w:top w:val="nil"/>
              <w:left w:val="nil"/>
              <w:bottom w:val="nil"/>
              <w:right w:val="nil"/>
            </w:tcBorders>
          </w:tcPr>
          <w:p w14:paraId="6742183E" w14:textId="77777777" w:rsidR="000F16C4" w:rsidRDefault="000F16C4" w:rsidP="000972AF">
            <w:pPr>
              <w:widowControl w:val="0"/>
              <w:autoSpaceDE w:val="0"/>
              <w:autoSpaceDN w:val="0"/>
              <w:adjustRightInd w:val="0"/>
              <w:spacing w:after="0" w:line="240" w:lineRule="auto"/>
              <w:jc w:val="center"/>
              <w:rPr>
                <w:szCs w:val="24"/>
              </w:rPr>
            </w:pPr>
            <w:r>
              <w:rPr>
                <w:szCs w:val="24"/>
              </w:rPr>
              <w:t>1.13***</w:t>
            </w:r>
          </w:p>
        </w:tc>
        <w:tc>
          <w:tcPr>
            <w:tcW w:w="697" w:type="pct"/>
            <w:tcBorders>
              <w:top w:val="nil"/>
              <w:left w:val="nil"/>
              <w:bottom w:val="nil"/>
              <w:right w:val="nil"/>
            </w:tcBorders>
          </w:tcPr>
          <w:p w14:paraId="6DA8EC05" w14:textId="77777777" w:rsidR="000F16C4" w:rsidRDefault="000F16C4" w:rsidP="000972AF">
            <w:pPr>
              <w:widowControl w:val="0"/>
              <w:autoSpaceDE w:val="0"/>
              <w:autoSpaceDN w:val="0"/>
              <w:adjustRightInd w:val="0"/>
              <w:spacing w:after="0" w:line="240" w:lineRule="auto"/>
              <w:jc w:val="center"/>
              <w:rPr>
                <w:szCs w:val="24"/>
              </w:rPr>
            </w:pPr>
            <w:r>
              <w:rPr>
                <w:szCs w:val="24"/>
              </w:rPr>
              <w:t>1.01</w:t>
            </w:r>
          </w:p>
        </w:tc>
      </w:tr>
      <w:tr w:rsidR="000F16C4" w14:paraId="1D6D2ED1" w14:textId="77777777" w:rsidTr="000972AF">
        <w:trPr>
          <w:jc w:val="center"/>
        </w:trPr>
        <w:tc>
          <w:tcPr>
            <w:tcW w:w="1425" w:type="pct"/>
            <w:tcBorders>
              <w:top w:val="nil"/>
              <w:left w:val="nil"/>
              <w:bottom w:val="nil"/>
              <w:right w:val="nil"/>
            </w:tcBorders>
          </w:tcPr>
          <w:p w14:paraId="5BF9AE1E" w14:textId="77777777" w:rsidR="000F16C4" w:rsidRDefault="000F16C4" w:rsidP="000972AF">
            <w:pPr>
              <w:widowControl w:val="0"/>
              <w:autoSpaceDE w:val="0"/>
              <w:autoSpaceDN w:val="0"/>
              <w:adjustRightInd w:val="0"/>
              <w:spacing w:after="0" w:line="240" w:lineRule="auto"/>
              <w:rPr>
                <w:szCs w:val="24"/>
              </w:rPr>
            </w:pPr>
          </w:p>
        </w:tc>
        <w:tc>
          <w:tcPr>
            <w:tcW w:w="698" w:type="pct"/>
            <w:tcBorders>
              <w:top w:val="nil"/>
              <w:left w:val="nil"/>
              <w:bottom w:val="nil"/>
              <w:right w:val="nil"/>
            </w:tcBorders>
          </w:tcPr>
          <w:p w14:paraId="14998BAB"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753" w:type="pct"/>
            <w:tcBorders>
              <w:top w:val="nil"/>
              <w:left w:val="nil"/>
              <w:bottom w:val="nil"/>
              <w:right w:val="nil"/>
            </w:tcBorders>
          </w:tcPr>
          <w:p w14:paraId="618FDFA2"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698" w:type="pct"/>
            <w:tcBorders>
              <w:top w:val="nil"/>
              <w:left w:val="nil"/>
              <w:bottom w:val="nil"/>
              <w:right w:val="nil"/>
            </w:tcBorders>
          </w:tcPr>
          <w:p w14:paraId="678332C0"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728" w:type="pct"/>
            <w:tcBorders>
              <w:top w:val="nil"/>
              <w:left w:val="nil"/>
              <w:bottom w:val="nil"/>
              <w:right w:val="nil"/>
            </w:tcBorders>
          </w:tcPr>
          <w:p w14:paraId="2F3ED4FB" w14:textId="77777777" w:rsidR="000F16C4" w:rsidRDefault="000F16C4" w:rsidP="000972AF">
            <w:pPr>
              <w:widowControl w:val="0"/>
              <w:autoSpaceDE w:val="0"/>
              <w:autoSpaceDN w:val="0"/>
              <w:adjustRightInd w:val="0"/>
              <w:spacing w:after="0" w:line="240" w:lineRule="auto"/>
              <w:jc w:val="center"/>
              <w:rPr>
                <w:szCs w:val="24"/>
              </w:rPr>
            </w:pPr>
            <w:r>
              <w:rPr>
                <w:szCs w:val="24"/>
              </w:rPr>
              <w:t>(0.04)</w:t>
            </w:r>
          </w:p>
        </w:tc>
        <w:tc>
          <w:tcPr>
            <w:tcW w:w="697" w:type="pct"/>
            <w:tcBorders>
              <w:top w:val="nil"/>
              <w:left w:val="nil"/>
              <w:bottom w:val="nil"/>
              <w:right w:val="nil"/>
            </w:tcBorders>
          </w:tcPr>
          <w:p w14:paraId="187D63DF"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r>
      <w:tr w:rsidR="000F16C4" w14:paraId="05FA5ABC" w14:textId="77777777" w:rsidTr="000972AF">
        <w:trPr>
          <w:jc w:val="center"/>
        </w:trPr>
        <w:tc>
          <w:tcPr>
            <w:tcW w:w="1425" w:type="pct"/>
            <w:tcBorders>
              <w:top w:val="nil"/>
              <w:left w:val="nil"/>
              <w:bottom w:val="nil"/>
              <w:right w:val="nil"/>
            </w:tcBorders>
          </w:tcPr>
          <w:p w14:paraId="00A9C260" w14:textId="77777777" w:rsidR="000F16C4" w:rsidRDefault="000F16C4" w:rsidP="000972AF">
            <w:pPr>
              <w:widowControl w:val="0"/>
              <w:autoSpaceDE w:val="0"/>
              <w:autoSpaceDN w:val="0"/>
              <w:adjustRightInd w:val="0"/>
              <w:spacing w:after="0" w:line="240" w:lineRule="auto"/>
              <w:rPr>
                <w:szCs w:val="24"/>
              </w:rPr>
            </w:pPr>
            <w:r>
              <w:rPr>
                <w:szCs w:val="24"/>
              </w:rPr>
              <w:t>National partners</w:t>
            </w:r>
          </w:p>
        </w:tc>
        <w:tc>
          <w:tcPr>
            <w:tcW w:w="698" w:type="pct"/>
            <w:tcBorders>
              <w:top w:val="nil"/>
              <w:left w:val="nil"/>
              <w:bottom w:val="nil"/>
              <w:right w:val="nil"/>
            </w:tcBorders>
          </w:tcPr>
          <w:p w14:paraId="0B928411" w14:textId="77777777" w:rsidR="000F16C4" w:rsidRDefault="000F16C4" w:rsidP="000972AF">
            <w:pPr>
              <w:widowControl w:val="0"/>
              <w:autoSpaceDE w:val="0"/>
              <w:autoSpaceDN w:val="0"/>
              <w:adjustRightInd w:val="0"/>
              <w:spacing w:after="0" w:line="240" w:lineRule="auto"/>
              <w:jc w:val="center"/>
              <w:rPr>
                <w:szCs w:val="24"/>
              </w:rPr>
            </w:pPr>
            <w:r>
              <w:rPr>
                <w:szCs w:val="24"/>
              </w:rPr>
              <w:t>0.98</w:t>
            </w:r>
          </w:p>
        </w:tc>
        <w:tc>
          <w:tcPr>
            <w:tcW w:w="753" w:type="pct"/>
            <w:tcBorders>
              <w:top w:val="nil"/>
              <w:left w:val="nil"/>
              <w:bottom w:val="nil"/>
              <w:right w:val="nil"/>
            </w:tcBorders>
          </w:tcPr>
          <w:p w14:paraId="0EE13395" w14:textId="77777777" w:rsidR="000F16C4" w:rsidRDefault="000F16C4" w:rsidP="000972AF">
            <w:pPr>
              <w:widowControl w:val="0"/>
              <w:autoSpaceDE w:val="0"/>
              <w:autoSpaceDN w:val="0"/>
              <w:adjustRightInd w:val="0"/>
              <w:spacing w:after="0" w:line="240" w:lineRule="auto"/>
              <w:jc w:val="center"/>
              <w:rPr>
                <w:szCs w:val="24"/>
              </w:rPr>
            </w:pPr>
            <w:r>
              <w:rPr>
                <w:szCs w:val="24"/>
              </w:rPr>
              <w:t>1.01</w:t>
            </w:r>
          </w:p>
        </w:tc>
        <w:tc>
          <w:tcPr>
            <w:tcW w:w="698" w:type="pct"/>
            <w:tcBorders>
              <w:top w:val="nil"/>
              <w:left w:val="nil"/>
              <w:bottom w:val="nil"/>
              <w:right w:val="nil"/>
            </w:tcBorders>
          </w:tcPr>
          <w:p w14:paraId="70848AF8" w14:textId="77777777" w:rsidR="000F16C4" w:rsidRDefault="000F16C4" w:rsidP="000972AF">
            <w:pPr>
              <w:widowControl w:val="0"/>
              <w:autoSpaceDE w:val="0"/>
              <w:autoSpaceDN w:val="0"/>
              <w:adjustRightInd w:val="0"/>
              <w:spacing w:after="0" w:line="240" w:lineRule="auto"/>
              <w:jc w:val="center"/>
              <w:rPr>
                <w:szCs w:val="24"/>
              </w:rPr>
            </w:pPr>
            <w:r>
              <w:rPr>
                <w:szCs w:val="24"/>
              </w:rPr>
              <w:t>0.97</w:t>
            </w:r>
          </w:p>
        </w:tc>
        <w:tc>
          <w:tcPr>
            <w:tcW w:w="728" w:type="pct"/>
            <w:tcBorders>
              <w:top w:val="nil"/>
              <w:left w:val="nil"/>
              <w:bottom w:val="nil"/>
              <w:right w:val="nil"/>
            </w:tcBorders>
          </w:tcPr>
          <w:p w14:paraId="27D43841" w14:textId="77777777" w:rsidR="000F16C4" w:rsidRDefault="000F16C4" w:rsidP="000972AF">
            <w:pPr>
              <w:widowControl w:val="0"/>
              <w:autoSpaceDE w:val="0"/>
              <w:autoSpaceDN w:val="0"/>
              <w:adjustRightInd w:val="0"/>
              <w:spacing w:after="0" w:line="240" w:lineRule="auto"/>
              <w:jc w:val="center"/>
              <w:rPr>
                <w:szCs w:val="24"/>
              </w:rPr>
            </w:pPr>
            <w:r>
              <w:rPr>
                <w:szCs w:val="24"/>
              </w:rPr>
              <w:t>1.04</w:t>
            </w:r>
          </w:p>
        </w:tc>
        <w:tc>
          <w:tcPr>
            <w:tcW w:w="697" w:type="pct"/>
            <w:tcBorders>
              <w:top w:val="nil"/>
              <w:left w:val="nil"/>
              <w:bottom w:val="nil"/>
              <w:right w:val="nil"/>
            </w:tcBorders>
          </w:tcPr>
          <w:p w14:paraId="137EE3EB" w14:textId="77777777" w:rsidR="000F16C4" w:rsidRDefault="000F16C4" w:rsidP="000972AF">
            <w:pPr>
              <w:widowControl w:val="0"/>
              <w:autoSpaceDE w:val="0"/>
              <w:autoSpaceDN w:val="0"/>
              <w:adjustRightInd w:val="0"/>
              <w:spacing w:after="0" w:line="240" w:lineRule="auto"/>
              <w:jc w:val="center"/>
              <w:rPr>
                <w:szCs w:val="24"/>
              </w:rPr>
            </w:pPr>
            <w:r>
              <w:rPr>
                <w:szCs w:val="24"/>
              </w:rPr>
              <w:t>0.97</w:t>
            </w:r>
          </w:p>
        </w:tc>
      </w:tr>
      <w:tr w:rsidR="000F16C4" w14:paraId="7B9CAE3F" w14:textId="77777777" w:rsidTr="000972AF">
        <w:trPr>
          <w:jc w:val="center"/>
        </w:trPr>
        <w:tc>
          <w:tcPr>
            <w:tcW w:w="1425" w:type="pct"/>
            <w:tcBorders>
              <w:top w:val="nil"/>
              <w:left w:val="nil"/>
              <w:bottom w:val="nil"/>
              <w:right w:val="nil"/>
            </w:tcBorders>
          </w:tcPr>
          <w:p w14:paraId="70777FCA" w14:textId="77777777" w:rsidR="000F16C4" w:rsidRDefault="000F16C4" w:rsidP="000972AF">
            <w:pPr>
              <w:widowControl w:val="0"/>
              <w:autoSpaceDE w:val="0"/>
              <w:autoSpaceDN w:val="0"/>
              <w:adjustRightInd w:val="0"/>
              <w:spacing w:after="0" w:line="240" w:lineRule="auto"/>
              <w:rPr>
                <w:szCs w:val="24"/>
              </w:rPr>
            </w:pPr>
          </w:p>
        </w:tc>
        <w:tc>
          <w:tcPr>
            <w:tcW w:w="698" w:type="pct"/>
            <w:tcBorders>
              <w:top w:val="nil"/>
              <w:left w:val="nil"/>
              <w:bottom w:val="nil"/>
              <w:right w:val="nil"/>
            </w:tcBorders>
          </w:tcPr>
          <w:p w14:paraId="336E49A4"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753" w:type="pct"/>
            <w:tcBorders>
              <w:top w:val="nil"/>
              <w:left w:val="nil"/>
              <w:bottom w:val="nil"/>
              <w:right w:val="nil"/>
            </w:tcBorders>
          </w:tcPr>
          <w:p w14:paraId="290BE9BA"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698" w:type="pct"/>
            <w:tcBorders>
              <w:top w:val="nil"/>
              <w:left w:val="nil"/>
              <w:bottom w:val="nil"/>
              <w:right w:val="nil"/>
            </w:tcBorders>
          </w:tcPr>
          <w:p w14:paraId="4912538B"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728" w:type="pct"/>
            <w:tcBorders>
              <w:top w:val="nil"/>
              <w:left w:val="nil"/>
              <w:bottom w:val="nil"/>
              <w:right w:val="nil"/>
            </w:tcBorders>
          </w:tcPr>
          <w:p w14:paraId="5F1BE691"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697" w:type="pct"/>
            <w:tcBorders>
              <w:top w:val="nil"/>
              <w:left w:val="nil"/>
              <w:bottom w:val="nil"/>
              <w:right w:val="nil"/>
            </w:tcBorders>
          </w:tcPr>
          <w:p w14:paraId="4C69382B"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r>
      <w:tr w:rsidR="000F16C4" w14:paraId="3ED8CAD3" w14:textId="77777777" w:rsidTr="000972AF">
        <w:trPr>
          <w:jc w:val="center"/>
        </w:trPr>
        <w:tc>
          <w:tcPr>
            <w:tcW w:w="1425" w:type="pct"/>
            <w:tcBorders>
              <w:top w:val="nil"/>
              <w:left w:val="nil"/>
              <w:bottom w:val="nil"/>
              <w:right w:val="nil"/>
            </w:tcBorders>
          </w:tcPr>
          <w:p w14:paraId="44D5A4EB" w14:textId="77777777" w:rsidR="000F16C4" w:rsidRDefault="000F16C4" w:rsidP="000972AF">
            <w:pPr>
              <w:widowControl w:val="0"/>
              <w:autoSpaceDE w:val="0"/>
              <w:autoSpaceDN w:val="0"/>
              <w:adjustRightInd w:val="0"/>
              <w:spacing w:after="0" w:line="240" w:lineRule="auto"/>
              <w:rPr>
                <w:szCs w:val="24"/>
              </w:rPr>
            </w:pPr>
            <w:r>
              <w:rPr>
                <w:szCs w:val="24"/>
              </w:rPr>
              <w:t>Foreign partners</w:t>
            </w:r>
          </w:p>
        </w:tc>
        <w:tc>
          <w:tcPr>
            <w:tcW w:w="698" w:type="pct"/>
            <w:tcBorders>
              <w:top w:val="nil"/>
              <w:left w:val="nil"/>
              <w:bottom w:val="nil"/>
              <w:right w:val="nil"/>
            </w:tcBorders>
          </w:tcPr>
          <w:p w14:paraId="532492ED" w14:textId="77777777" w:rsidR="000F16C4" w:rsidRDefault="000F16C4" w:rsidP="000972AF">
            <w:pPr>
              <w:widowControl w:val="0"/>
              <w:autoSpaceDE w:val="0"/>
              <w:autoSpaceDN w:val="0"/>
              <w:adjustRightInd w:val="0"/>
              <w:spacing w:after="0" w:line="240" w:lineRule="auto"/>
              <w:jc w:val="center"/>
              <w:rPr>
                <w:szCs w:val="24"/>
              </w:rPr>
            </w:pPr>
            <w:r>
              <w:rPr>
                <w:szCs w:val="24"/>
              </w:rPr>
              <w:t>1.14***</w:t>
            </w:r>
          </w:p>
        </w:tc>
        <w:tc>
          <w:tcPr>
            <w:tcW w:w="753" w:type="pct"/>
            <w:tcBorders>
              <w:top w:val="nil"/>
              <w:left w:val="nil"/>
              <w:bottom w:val="nil"/>
              <w:right w:val="nil"/>
            </w:tcBorders>
          </w:tcPr>
          <w:p w14:paraId="3D2579D8" w14:textId="77777777" w:rsidR="000F16C4" w:rsidRDefault="000F16C4" w:rsidP="000972AF">
            <w:pPr>
              <w:widowControl w:val="0"/>
              <w:autoSpaceDE w:val="0"/>
              <w:autoSpaceDN w:val="0"/>
              <w:adjustRightInd w:val="0"/>
              <w:spacing w:after="0" w:line="240" w:lineRule="auto"/>
              <w:jc w:val="center"/>
              <w:rPr>
                <w:szCs w:val="24"/>
              </w:rPr>
            </w:pPr>
            <w:r>
              <w:rPr>
                <w:szCs w:val="24"/>
              </w:rPr>
              <w:t>1.08*</w:t>
            </w:r>
          </w:p>
        </w:tc>
        <w:tc>
          <w:tcPr>
            <w:tcW w:w="698" w:type="pct"/>
            <w:tcBorders>
              <w:top w:val="nil"/>
              <w:left w:val="nil"/>
              <w:bottom w:val="nil"/>
              <w:right w:val="nil"/>
            </w:tcBorders>
          </w:tcPr>
          <w:p w14:paraId="61C034F3" w14:textId="77777777" w:rsidR="000F16C4" w:rsidRDefault="000F16C4" w:rsidP="000972AF">
            <w:pPr>
              <w:widowControl w:val="0"/>
              <w:autoSpaceDE w:val="0"/>
              <w:autoSpaceDN w:val="0"/>
              <w:adjustRightInd w:val="0"/>
              <w:spacing w:after="0" w:line="240" w:lineRule="auto"/>
              <w:jc w:val="center"/>
              <w:rPr>
                <w:szCs w:val="24"/>
              </w:rPr>
            </w:pPr>
            <w:r>
              <w:rPr>
                <w:szCs w:val="24"/>
              </w:rPr>
              <w:t>1.05+</w:t>
            </w:r>
          </w:p>
        </w:tc>
        <w:tc>
          <w:tcPr>
            <w:tcW w:w="728" w:type="pct"/>
            <w:tcBorders>
              <w:top w:val="nil"/>
              <w:left w:val="nil"/>
              <w:bottom w:val="nil"/>
              <w:right w:val="nil"/>
            </w:tcBorders>
          </w:tcPr>
          <w:p w14:paraId="25BC342F" w14:textId="77777777" w:rsidR="000F16C4" w:rsidRDefault="000F16C4" w:rsidP="000972AF">
            <w:pPr>
              <w:widowControl w:val="0"/>
              <w:autoSpaceDE w:val="0"/>
              <w:autoSpaceDN w:val="0"/>
              <w:adjustRightInd w:val="0"/>
              <w:spacing w:after="0" w:line="240" w:lineRule="auto"/>
              <w:jc w:val="center"/>
              <w:rPr>
                <w:szCs w:val="24"/>
              </w:rPr>
            </w:pPr>
            <w:r>
              <w:rPr>
                <w:szCs w:val="24"/>
              </w:rPr>
              <w:t>1.02</w:t>
            </w:r>
          </w:p>
        </w:tc>
        <w:tc>
          <w:tcPr>
            <w:tcW w:w="697" w:type="pct"/>
            <w:tcBorders>
              <w:top w:val="nil"/>
              <w:left w:val="nil"/>
              <w:bottom w:val="nil"/>
              <w:right w:val="nil"/>
            </w:tcBorders>
          </w:tcPr>
          <w:p w14:paraId="402AA3C0" w14:textId="77777777" w:rsidR="000F16C4" w:rsidRDefault="000F16C4" w:rsidP="000972AF">
            <w:pPr>
              <w:widowControl w:val="0"/>
              <w:autoSpaceDE w:val="0"/>
              <w:autoSpaceDN w:val="0"/>
              <w:adjustRightInd w:val="0"/>
              <w:spacing w:after="0" w:line="240" w:lineRule="auto"/>
              <w:jc w:val="center"/>
              <w:rPr>
                <w:szCs w:val="24"/>
              </w:rPr>
            </w:pPr>
            <w:r>
              <w:rPr>
                <w:szCs w:val="24"/>
              </w:rPr>
              <w:t>1.08*</w:t>
            </w:r>
          </w:p>
        </w:tc>
      </w:tr>
      <w:tr w:rsidR="000F16C4" w14:paraId="5DD553DD" w14:textId="77777777" w:rsidTr="000972AF">
        <w:trPr>
          <w:jc w:val="center"/>
        </w:trPr>
        <w:tc>
          <w:tcPr>
            <w:tcW w:w="1425" w:type="pct"/>
            <w:tcBorders>
              <w:top w:val="nil"/>
              <w:left w:val="nil"/>
              <w:bottom w:val="nil"/>
              <w:right w:val="nil"/>
            </w:tcBorders>
          </w:tcPr>
          <w:p w14:paraId="1DE9E4D5" w14:textId="77777777" w:rsidR="000F16C4" w:rsidRDefault="000F16C4" w:rsidP="000972AF">
            <w:pPr>
              <w:widowControl w:val="0"/>
              <w:autoSpaceDE w:val="0"/>
              <w:autoSpaceDN w:val="0"/>
              <w:adjustRightInd w:val="0"/>
              <w:spacing w:after="0" w:line="240" w:lineRule="auto"/>
              <w:rPr>
                <w:szCs w:val="24"/>
              </w:rPr>
            </w:pPr>
          </w:p>
        </w:tc>
        <w:tc>
          <w:tcPr>
            <w:tcW w:w="698" w:type="pct"/>
            <w:tcBorders>
              <w:top w:val="nil"/>
              <w:left w:val="nil"/>
              <w:bottom w:val="nil"/>
              <w:right w:val="nil"/>
            </w:tcBorders>
          </w:tcPr>
          <w:p w14:paraId="30FC9399" w14:textId="77777777" w:rsidR="000F16C4" w:rsidRDefault="000F16C4" w:rsidP="000972AF">
            <w:pPr>
              <w:widowControl w:val="0"/>
              <w:autoSpaceDE w:val="0"/>
              <w:autoSpaceDN w:val="0"/>
              <w:adjustRightInd w:val="0"/>
              <w:spacing w:after="0" w:line="240" w:lineRule="auto"/>
              <w:jc w:val="center"/>
              <w:rPr>
                <w:szCs w:val="24"/>
              </w:rPr>
            </w:pPr>
            <w:r>
              <w:rPr>
                <w:szCs w:val="24"/>
              </w:rPr>
              <w:t>(0.04)</w:t>
            </w:r>
          </w:p>
        </w:tc>
        <w:tc>
          <w:tcPr>
            <w:tcW w:w="753" w:type="pct"/>
            <w:tcBorders>
              <w:top w:val="nil"/>
              <w:left w:val="nil"/>
              <w:bottom w:val="nil"/>
              <w:right w:val="nil"/>
            </w:tcBorders>
          </w:tcPr>
          <w:p w14:paraId="64B734B7"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698" w:type="pct"/>
            <w:tcBorders>
              <w:top w:val="nil"/>
              <w:left w:val="nil"/>
              <w:bottom w:val="nil"/>
              <w:right w:val="nil"/>
            </w:tcBorders>
          </w:tcPr>
          <w:p w14:paraId="636E2C0A"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728" w:type="pct"/>
            <w:tcBorders>
              <w:top w:val="nil"/>
              <w:left w:val="nil"/>
              <w:bottom w:val="nil"/>
              <w:right w:val="nil"/>
            </w:tcBorders>
          </w:tcPr>
          <w:p w14:paraId="149C7A7D"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697" w:type="pct"/>
            <w:tcBorders>
              <w:top w:val="nil"/>
              <w:left w:val="nil"/>
              <w:bottom w:val="nil"/>
              <w:right w:val="nil"/>
            </w:tcBorders>
          </w:tcPr>
          <w:p w14:paraId="5213D4BE"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r>
      <w:tr w:rsidR="000F16C4" w14:paraId="7B4B7B9B" w14:textId="77777777" w:rsidTr="000972AF">
        <w:trPr>
          <w:jc w:val="center"/>
        </w:trPr>
        <w:tc>
          <w:tcPr>
            <w:tcW w:w="1425" w:type="pct"/>
            <w:tcBorders>
              <w:top w:val="nil"/>
              <w:left w:val="nil"/>
              <w:bottom w:val="nil"/>
              <w:right w:val="nil"/>
            </w:tcBorders>
          </w:tcPr>
          <w:p w14:paraId="5BFF3321" w14:textId="77777777" w:rsidR="000F16C4" w:rsidRDefault="000F16C4" w:rsidP="000972AF">
            <w:pPr>
              <w:widowControl w:val="0"/>
              <w:autoSpaceDE w:val="0"/>
              <w:autoSpaceDN w:val="0"/>
              <w:adjustRightInd w:val="0"/>
              <w:spacing w:after="0" w:line="240" w:lineRule="auto"/>
              <w:rPr>
                <w:szCs w:val="24"/>
              </w:rPr>
            </w:pPr>
            <w:r>
              <w:rPr>
                <w:szCs w:val="24"/>
              </w:rPr>
              <w:t>Small city</w:t>
            </w:r>
          </w:p>
        </w:tc>
        <w:tc>
          <w:tcPr>
            <w:tcW w:w="698" w:type="pct"/>
            <w:tcBorders>
              <w:top w:val="nil"/>
              <w:left w:val="nil"/>
              <w:bottom w:val="nil"/>
              <w:right w:val="nil"/>
            </w:tcBorders>
          </w:tcPr>
          <w:p w14:paraId="68595DC4" w14:textId="77777777" w:rsidR="000F16C4" w:rsidRDefault="000F16C4" w:rsidP="000972AF">
            <w:pPr>
              <w:widowControl w:val="0"/>
              <w:autoSpaceDE w:val="0"/>
              <w:autoSpaceDN w:val="0"/>
              <w:adjustRightInd w:val="0"/>
              <w:spacing w:after="0" w:line="240" w:lineRule="auto"/>
              <w:jc w:val="center"/>
              <w:rPr>
                <w:szCs w:val="24"/>
              </w:rPr>
            </w:pPr>
            <w:r>
              <w:rPr>
                <w:szCs w:val="24"/>
              </w:rPr>
              <w:t>1.11</w:t>
            </w:r>
          </w:p>
        </w:tc>
        <w:tc>
          <w:tcPr>
            <w:tcW w:w="753" w:type="pct"/>
            <w:tcBorders>
              <w:top w:val="nil"/>
              <w:left w:val="nil"/>
              <w:bottom w:val="nil"/>
              <w:right w:val="nil"/>
            </w:tcBorders>
          </w:tcPr>
          <w:p w14:paraId="476F0DCE" w14:textId="77777777" w:rsidR="000F16C4" w:rsidRDefault="000F16C4" w:rsidP="000972AF">
            <w:pPr>
              <w:widowControl w:val="0"/>
              <w:autoSpaceDE w:val="0"/>
              <w:autoSpaceDN w:val="0"/>
              <w:adjustRightInd w:val="0"/>
              <w:spacing w:after="0" w:line="240" w:lineRule="auto"/>
              <w:jc w:val="center"/>
              <w:rPr>
                <w:szCs w:val="24"/>
              </w:rPr>
            </w:pPr>
            <w:r>
              <w:rPr>
                <w:szCs w:val="24"/>
              </w:rPr>
              <w:t>1.08</w:t>
            </w:r>
          </w:p>
        </w:tc>
        <w:tc>
          <w:tcPr>
            <w:tcW w:w="698" w:type="pct"/>
            <w:tcBorders>
              <w:top w:val="nil"/>
              <w:left w:val="nil"/>
              <w:bottom w:val="nil"/>
              <w:right w:val="nil"/>
            </w:tcBorders>
          </w:tcPr>
          <w:p w14:paraId="0A717D5E" w14:textId="77777777" w:rsidR="000F16C4" w:rsidRDefault="000F16C4" w:rsidP="000972AF">
            <w:pPr>
              <w:widowControl w:val="0"/>
              <w:autoSpaceDE w:val="0"/>
              <w:autoSpaceDN w:val="0"/>
              <w:adjustRightInd w:val="0"/>
              <w:spacing w:after="0" w:line="240" w:lineRule="auto"/>
              <w:jc w:val="center"/>
              <w:rPr>
                <w:szCs w:val="24"/>
              </w:rPr>
            </w:pPr>
            <w:r>
              <w:rPr>
                <w:szCs w:val="24"/>
              </w:rPr>
              <w:t>0.89</w:t>
            </w:r>
          </w:p>
        </w:tc>
        <w:tc>
          <w:tcPr>
            <w:tcW w:w="728" w:type="pct"/>
            <w:tcBorders>
              <w:top w:val="nil"/>
              <w:left w:val="nil"/>
              <w:bottom w:val="nil"/>
              <w:right w:val="nil"/>
            </w:tcBorders>
          </w:tcPr>
          <w:p w14:paraId="3EE33758" w14:textId="77777777" w:rsidR="000F16C4" w:rsidRDefault="000F16C4" w:rsidP="000972AF">
            <w:pPr>
              <w:widowControl w:val="0"/>
              <w:autoSpaceDE w:val="0"/>
              <w:autoSpaceDN w:val="0"/>
              <w:adjustRightInd w:val="0"/>
              <w:spacing w:after="0" w:line="240" w:lineRule="auto"/>
              <w:jc w:val="center"/>
              <w:rPr>
                <w:szCs w:val="24"/>
              </w:rPr>
            </w:pPr>
            <w:r>
              <w:rPr>
                <w:szCs w:val="24"/>
              </w:rPr>
              <w:t>0.94</w:t>
            </w:r>
          </w:p>
        </w:tc>
        <w:tc>
          <w:tcPr>
            <w:tcW w:w="697" w:type="pct"/>
            <w:tcBorders>
              <w:top w:val="nil"/>
              <w:left w:val="nil"/>
              <w:bottom w:val="nil"/>
              <w:right w:val="nil"/>
            </w:tcBorders>
          </w:tcPr>
          <w:p w14:paraId="2DCF0DA7" w14:textId="77777777" w:rsidR="000F16C4" w:rsidRDefault="000F16C4" w:rsidP="000972AF">
            <w:pPr>
              <w:widowControl w:val="0"/>
              <w:autoSpaceDE w:val="0"/>
              <w:autoSpaceDN w:val="0"/>
              <w:adjustRightInd w:val="0"/>
              <w:spacing w:after="0" w:line="240" w:lineRule="auto"/>
              <w:jc w:val="center"/>
              <w:rPr>
                <w:szCs w:val="24"/>
              </w:rPr>
            </w:pPr>
            <w:r>
              <w:rPr>
                <w:szCs w:val="24"/>
              </w:rPr>
              <w:t>1.02</w:t>
            </w:r>
          </w:p>
        </w:tc>
      </w:tr>
      <w:tr w:rsidR="000F16C4" w14:paraId="297AA1A9" w14:textId="77777777" w:rsidTr="000972AF">
        <w:trPr>
          <w:jc w:val="center"/>
        </w:trPr>
        <w:tc>
          <w:tcPr>
            <w:tcW w:w="1425" w:type="pct"/>
            <w:tcBorders>
              <w:top w:val="nil"/>
              <w:left w:val="nil"/>
              <w:bottom w:val="nil"/>
              <w:right w:val="nil"/>
            </w:tcBorders>
          </w:tcPr>
          <w:p w14:paraId="19D1F581" w14:textId="77777777" w:rsidR="000F16C4" w:rsidRDefault="000F16C4" w:rsidP="000972AF">
            <w:pPr>
              <w:widowControl w:val="0"/>
              <w:autoSpaceDE w:val="0"/>
              <w:autoSpaceDN w:val="0"/>
              <w:adjustRightInd w:val="0"/>
              <w:spacing w:after="0" w:line="240" w:lineRule="auto"/>
              <w:rPr>
                <w:szCs w:val="24"/>
              </w:rPr>
            </w:pPr>
          </w:p>
        </w:tc>
        <w:tc>
          <w:tcPr>
            <w:tcW w:w="698" w:type="pct"/>
            <w:tcBorders>
              <w:top w:val="nil"/>
              <w:left w:val="nil"/>
              <w:bottom w:val="nil"/>
              <w:right w:val="nil"/>
            </w:tcBorders>
          </w:tcPr>
          <w:p w14:paraId="26C403A5" w14:textId="77777777" w:rsidR="000F16C4" w:rsidRDefault="000F16C4" w:rsidP="000972AF">
            <w:pPr>
              <w:widowControl w:val="0"/>
              <w:autoSpaceDE w:val="0"/>
              <w:autoSpaceDN w:val="0"/>
              <w:adjustRightInd w:val="0"/>
              <w:spacing w:after="0" w:line="240" w:lineRule="auto"/>
              <w:jc w:val="center"/>
              <w:rPr>
                <w:szCs w:val="24"/>
              </w:rPr>
            </w:pPr>
            <w:r>
              <w:rPr>
                <w:szCs w:val="24"/>
              </w:rPr>
              <w:t>(0.13)</w:t>
            </w:r>
          </w:p>
        </w:tc>
        <w:tc>
          <w:tcPr>
            <w:tcW w:w="753" w:type="pct"/>
            <w:tcBorders>
              <w:top w:val="nil"/>
              <w:left w:val="nil"/>
              <w:bottom w:val="nil"/>
              <w:right w:val="nil"/>
            </w:tcBorders>
          </w:tcPr>
          <w:p w14:paraId="48CCAA1B" w14:textId="77777777" w:rsidR="000F16C4" w:rsidRDefault="000F16C4" w:rsidP="000972AF">
            <w:pPr>
              <w:widowControl w:val="0"/>
              <w:autoSpaceDE w:val="0"/>
              <w:autoSpaceDN w:val="0"/>
              <w:adjustRightInd w:val="0"/>
              <w:spacing w:after="0" w:line="240" w:lineRule="auto"/>
              <w:jc w:val="center"/>
              <w:rPr>
                <w:szCs w:val="24"/>
              </w:rPr>
            </w:pPr>
            <w:r>
              <w:rPr>
                <w:szCs w:val="24"/>
              </w:rPr>
              <w:t>(0.13)</w:t>
            </w:r>
          </w:p>
        </w:tc>
        <w:tc>
          <w:tcPr>
            <w:tcW w:w="698" w:type="pct"/>
            <w:tcBorders>
              <w:top w:val="nil"/>
              <w:left w:val="nil"/>
              <w:bottom w:val="nil"/>
              <w:right w:val="nil"/>
            </w:tcBorders>
          </w:tcPr>
          <w:p w14:paraId="6EA6AD7D" w14:textId="77777777" w:rsidR="000F16C4" w:rsidRDefault="000F16C4" w:rsidP="000972AF">
            <w:pPr>
              <w:widowControl w:val="0"/>
              <w:autoSpaceDE w:val="0"/>
              <w:autoSpaceDN w:val="0"/>
              <w:adjustRightInd w:val="0"/>
              <w:spacing w:after="0" w:line="240" w:lineRule="auto"/>
              <w:jc w:val="center"/>
              <w:rPr>
                <w:szCs w:val="24"/>
              </w:rPr>
            </w:pPr>
            <w:r>
              <w:rPr>
                <w:szCs w:val="24"/>
              </w:rPr>
              <w:t>(0.10)</w:t>
            </w:r>
          </w:p>
        </w:tc>
        <w:tc>
          <w:tcPr>
            <w:tcW w:w="728" w:type="pct"/>
            <w:tcBorders>
              <w:top w:val="nil"/>
              <w:left w:val="nil"/>
              <w:bottom w:val="nil"/>
              <w:right w:val="nil"/>
            </w:tcBorders>
          </w:tcPr>
          <w:p w14:paraId="0B5A92E5" w14:textId="77777777" w:rsidR="000F16C4" w:rsidRDefault="000F16C4" w:rsidP="000972AF">
            <w:pPr>
              <w:widowControl w:val="0"/>
              <w:autoSpaceDE w:val="0"/>
              <w:autoSpaceDN w:val="0"/>
              <w:adjustRightInd w:val="0"/>
              <w:spacing w:after="0" w:line="240" w:lineRule="auto"/>
              <w:jc w:val="center"/>
              <w:rPr>
                <w:szCs w:val="24"/>
              </w:rPr>
            </w:pPr>
            <w:r>
              <w:rPr>
                <w:szCs w:val="24"/>
              </w:rPr>
              <w:t>(0.11)</w:t>
            </w:r>
          </w:p>
        </w:tc>
        <w:tc>
          <w:tcPr>
            <w:tcW w:w="697" w:type="pct"/>
            <w:tcBorders>
              <w:top w:val="nil"/>
              <w:left w:val="nil"/>
              <w:bottom w:val="nil"/>
              <w:right w:val="nil"/>
            </w:tcBorders>
          </w:tcPr>
          <w:p w14:paraId="2CC1FFAF" w14:textId="77777777" w:rsidR="000F16C4" w:rsidRDefault="000F16C4" w:rsidP="000972AF">
            <w:pPr>
              <w:widowControl w:val="0"/>
              <w:autoSpaceDE w:val="0"/>
              <w:autoSpaceDN w:val="0"/>
              <w:adjustRightInd w:val="0"/>
              <w:spacing w:after="0" w:line="240" w:lineRule="auto"/>
              <w:jc w:val="center"/>
              <w:rPr>
                <w:szCs w:val="24"/>
              </w:rPr>
            </w:pPr>
            <w:r>
              <w:rPr>
                <w:szCs w:val="24"/>
              </w:rPr>
              <w:t>(0.12)</w:t>
            </w:r>
          </w:p>
        </w:tc>
      </w:tr>
      <w:tr w:rsidR="000F16C4" w14:paraId="1655BE68" w14:textId="77777777" w:rsidTr="000972AF">
        <w:trPr>
          <w:jc w:val="center"/>
        </w:trPr>
        <w:tc>
          <w:tcPr>
            <w:tcW w:w="1425" w:type="pct"/>
            <w:tcBorders>
              <w:top w:val="nil"/>
              <w:left w:val="nil"/>
              <w:bottom w:val="nil"/>
              <w:right w:val="nil"/>
            </w:tcBorders>
          </w:tcPr>
          <w:p w14:paraId="60989600" w14:textId="77777777" w:rsidR="000F16C4" w:rsidRDefault="000F16C4" w:rsidP="000972AF">
            <w:pPr>
              <w:widowControl w:val="0"/>
              <w:autoSpaceDE w:val="0"/>
              <w:autoSpaceDN w:val="0"/>
              <w:adjustRightInd w:val="0"/>
              <w:spacing w:after="0" w:line="240" w:lineRule="auto"/>
              <w:rPr>
                <w:szCs w:val="24"/>
              </w:rPr>
            </w:pPr>
            <w:r>
              <w:rPr>
                <w:szCs w:val="24"/>
              </w:rPr>
              <w:t>Medium city</w:t>
            </w:r>
          </w:p>
        </w:tc>
        <w:tc>
          <w:tcPr>
            <w:tcW w:w="698" w:type="pct"/>
            <w:tcBorders>
              <w:top w:val="nil"/>
              <w:left w:val="nil"/>
              <w:bottom w:val="nil"/>
              <w:right w:val="nil"/>
            </w:tcBorders>
          </w:tcPr>
          <w:p w14:paraId="58BF7463" w14:textId="77777777" w:rsidR="000F16C4" w:rsidRDefault="000F16C4" w:rsidP="000972AF">
            <w:pPr>
              <w:widowControl w:val="0"/>
              <w:autoSpaceDE w:val="0"/>
              <w:autoSpaceDN w:val="0"/>
              <w:adjustRightInd w:val="0"/>
              <w:spacing w:after="0" w:line="240" w:lineRule="auto"/>
              <w:jc w:val="center"/>
              <w:rPr>
                <w:szCs w:val="24"/>
              </w:rPr>
            </w:pPr>
            <w:r>
              <w:rPr>
                <w:szCs w:val="24"/>
              </w:rPr>
              <w:t>1.34*</w:t>
            </w:r>
          </w:p>
        </w:tc>
        <w:tc>
          <w:tcPr>
            <w:tcW w:w="753" w:type="pct"/>
            <w:tcBorders>
              <w:top w:val="nil"/>
              <w:left w:val="nil"/>
              <w:bottom w:val="nil"/>
              <w:right w:val="nil"/>
            </w:tcBorders>
          </w:tcPr>
          <w:p w14:paraId="43E0D381" w14:textId="77777777" w:rsidR="000F16C4" w:rsidRDefault="000F16C4" w:rsidP="000972AF">
            <w:pPr>
              <w:widowControl w:val="0"/>
              <w:autoSpaceDE w:val="0"/>
              <w:autoSpaceDN w:val="0"/>
              <w:adjustRightInd w:val="0"/>
              <w:spacing w:after="0" w:line="240" w:lineRule="auto"/>
              <w:jc w:val="center"/>
              <w:rPr>
                <w:szCs w:val="24"/>
              </w:rPr>
            </w:pPr>
            <w:r>
              <w:rPr>
                <w:szCs w:val="24"/>
              </w:rPr>
              <w:t>1.31*</w:t>
            </w:r>
          </w:p>
        </w:tc>
        <w:tc>
          <w:tcPr>
            <w:tcW w:w="698" w:type="pct"/>
            <w:tcBorders>
              <w:top w:val="nil"/>
              <w:left w:val="nil"/>
              <w:bottom w:val="nil"/>
              <w:right w:val="nil"/>
            </w:tcBorders>
          </w:tcPr>
          <w:p w14:paraId="231ED807" w14:textId="77777777" w:rsidR="000F16C4" w:rsidRDefault="000F16C4" w:rsidP="000972AF">
            <w:pPr>
              <w:widowControl w:val="0"/>
              <w:autoSpaceDE w:val="0"/>
              <w:autoSpaceDN w:val="0"/>
              <w:adjustRightInd w:val="0"/>
              <w:spacing w:after="0" w:line="240" w:lineRule="auto"/>
              <w:jc w:val="center"/>
              <w:rPr>
                <w:szCs w:val="24"/>
              </w:rPr>
            </w:pPr>
            <w:r>
              <w:rPr>
                <w:szCs w:val="24"/>
              </w:rPr>
              <w:t>1.06</w:t>
            </w:r>
          </w:p>
        </w:tc>
        <w:tc>
          <w:tcPr>
            <w:tcW w:w="728" w:type="pct"/>
            <w:tcBorders>
              <w:top w:val="nil"/>
              <w:left w:val="nil"/>
              <w:bottom w:val="nil"/>
              <w:right w:val="nil"/>
            </w:tcBorders>
          </w:tcPr>
          <w:p w14:paraId="7152480D" w14:textId="77777777" w:rsidR="000F16C4" w:rsidRDefault="000F16C4" w:rsidP="000972AF">
            <w:pPr>
              <w:widowControl w:val="0"/>
              <w:autoSpaceDE w:val="0"/>
              <w:autoSpaceDN w:val="0"/>
              <w:adjustRightInd w:val="0"/>
              <w:spacing w:after="0" w:line="240" w:lineRule="auto"/>
              <w:jc w:val="center"/>
              <w:rPr>
                <w:szCs w:val="24"/>
              </w:rPr>
            </w:pPr>
            <w:r>
              <w:rPr>
                <w:szCs w:val="24"/>
              </w:rPr>
              <w:t>1.01</w:t>
            </w:r>
          </w:p>
        </w:tc>
        <w:tc>
          <w:tcPr>
            <w:tcW w:w="697" w:type="pct"/>
            <w:tcBorders>
              <w:top w:val="nil"/>
              <w:left w:val="nil"/>
              <w:bottom w:val="nil"/>
              <w:right w:val="nil"/>
            </w:tcBorders>
          </w:tcPr>
          <w:p w14:paraId="7CA30DCF" w14:textId="77777777" w:rsidR="000F16C4" w:rsidRDefault="000F16C4" w:rsidP="000972AF">
            <w:pPr>
              <w:widowControl w:val="0"/>
              <w:autoSpaceDE w:val="0"/>
              <w:autoSpaceDN w:val="0"/>
              <w:adjustRightInd w:val="0"/>
              <w:spacing w:after="0" w:line="240" w:lineRule="auto"/>
              <w:jc w:val="center"/>
              <w:rPr>
                <w:szCs w:val="24"/>
              </w:rPr>
            </w:pPr>
            <w:r>
              <w:rPr>
                <w:szCs w:val="24"/>
              </w:rPr>
              <w:t>1.16</w:t>
            </w:r>
          </w:p>
        </w:tc>
      </w:tr>
      <w:tr w:rsidR="000F16C4" w14:paraId="3C1DD7AE" w14:textId="77777777" w:rsidTr="000972AF">
        <w:trPr>
          <w:jc w:val="center"/>
        </w:trPr>
        <w:tc>
          <w:tcPr>
            <w:tcW w:w="1425" w:type="pct"/>
            <w:tcBorders>
              <w:top w:val="nil"/>
              <w:left w:val="nil"/>
              <w:bottom w:val="nil"/>
              <w:right w:val="nil"/>
            </w:tcBorders>
          </w:tcPr>
          <w:p w14:paraId="72764729" w14:textId="77777777" w:rsidR="000F16C4" w:rsidRDefault="000F16C4" w:rsidP="000972AF">
            <w:pPr>
              <w:widowControl w:val="0"/>
              <w:autoSpaceDE w:val="0"/>
              <w:autoSpaceDN w:val="0"/>
              <w:adjustRightInd w:val="0"/>
              <w:spacing w:after="0" w:line="240" w:lineRule="auto"/>
              <w:rPr>
                <w:szCs w:val="24"/>
              </w:rPr>
            </w:pPr>
          </w:p>
        </w:tc>
        <w:tc>
          <w:tcPr>
            <w:tcW w:w="698" w:type="pct"/>
            <w:tcBorders>
              <w:top w:val="nil"/>
              <w:left w:val="nil"/>
              <w:bottom w:val="nil"/>
              <w:right w:val="nil"/>
            </w:tcBorders>
          </w:tcPr>
          <w:p w14:paraId="3E94F69E" w14:textId="77777777" w:rsidR="000F16C4" w:rsidRDefault="000F16C4" w:rsidP="000972AF">
            <w:pPr>
              <w:widowControl w:val="0"/>
              <w:autoSpaceDE w:val="0"/>
              <w:autoSpaceDN w:val="0"/>
              <w:adjustRightInd w:val="0"/>
              <w:spacing w:after="0" w:line="240" w:lineRule="auto"/>
              <w:jc w:val="center"/>
              <w:rPr>
                <w:szCs w:val="24"/>
              </w:rPr>
            </w:pPr>
            <w:r>
              <w:rPr>
                <w:szCs w:val="24"/>
              </w:rPr>
              <w:t>(0.17)</w:t>
            </w:r>
          </w:p>
        </w:tc>
        <w:tc>
          <w:tcPr>
            <w:tcW w:w="753" w:type="pct"/>
            <w:tcBorders>
              <w:top w:val="nil"/>
              <w:left w:val="nil"/>
              <w:bottom w:val="nil"/>
              <w:right w:val="nil"/>
            </w:tcBorders>
          </w:tcPr>
          <w:p w14:paraId="73C5D5A6" w14:textId="77777777" w:rsidR="000F16C4" w:rsidRDefault="000F16C4" w:rsidP="000972AF">
            <w:pPr>
              <w:widowControl w:val="0"/>
              <w:autoSpaceDE w:val="0"/>
              <w:autoSpaceDN w:val="0"/>
              <w:adjustRightInd w:val="0"/>
              <w:spacing w:after="0" w:line="240" w:lineRule="auto"/>
              <w:jc w:val="center"/>
              <w:rPr>
                <w:szCs w:val="24"/>
              </w:rPr>
            </w:pPr>
            <w:r>
              <w:rPr>
                <w:szCs w:val="24"/>
              </w:rPr>
              <w:t>(0.17)</w:t>
            </w:r>
          </w:p>
        </w:tc>
        <w:tc>
          <w:tcPr>
            <w:tcW w:w="698" w:type="pct"/>
            <w:tcBorders>
              <w:top w:val="nil"/>
              <w:left w:val="nil"/>
              <w:bottom w:val="nil"/>
              <w:right w:val="nil"/>
            </w:tcBorders>
          </w:tcPr>
          <w:p w14:paraId="07A241BC" w14:textId="77777777" w:rsidR="000F16C4" w:rsidRDefault="000F16C4" w:rsidP="000972AF">
            <w:pPr>
              <w:widowControl w:val="0"/>
              <w:autoSpaceDE w:val="0"/>
              <w:autoSpaceDN w:val="0"/>
              <w:adjustRightInd w:val="0"/>
              <w:spacing w:after="0" w:line="240" w:lineRule="auto"/>
              <w:jc w:val="center"/>
              <w:rPr>
                <w:szCs w:val="24"/>
              </w:rPr>
            </w:pPr>
            <w:r>
              <w:rPr>
                <w:szCs w:val="24"/>
              </w:rPr>
              <w:t>(0.13)</w:t>
            </w:r>
          </w:p>
        </w:tc>
        <w:tc>
          <w:tcPr>
            <w:tcW w:w="728" w:type="pct"/>
            <w:tcBorders>
              <w:top w:val="nil"/>
              <w:left w:val="nil"/>
              <w:bottom w:val="nil"/>
              <w:right w:val="nil"/>
            </w:tcBorders>
          </w:tcPr>
          <w:p w14:paraId="76C089A8" w14:textId="77777777" w:rsidR="000F16C4" w:rsidRDefault="000F16C4" w:rsidP="000972AF">
            <w:pPr>
              <w:widowControl w:val="0"/>
              <w:autoSpaceDE w:val="0"/>
              <w:autoSpaceDN w:val="0"/>
              <w:adjustRightInd w:val="0"/>
              <w:spacing w:after="0" w:line="240" w:lineRule="auto"/>
              <w:jc w:val="center"/>
              <w:rPr>
                <w:szCs w:val="24"/>
              </w:rPr>
            </w:pPr>
            <w:r>
              <w:rPr>
                <w:szCs w:val="24"/>
              </w:rPr>
              <w:t>(0.13)</w:t>
            </w:r>
          </w:p>
        </w:tc>
        <w:tc>
          <w:tcPr>
            <w:tcW w:w="697" w:type="pct"/>
            <w:tcBorders>
              <w:top w:val="nil"/>
              <w:left w:val="nil"/>
              <w:bottom w:val="nil"/>
              <w:right w:val="nil"/>
            </w:tcBorders>
          </w:tcPr>
          <w:p w14:paraId="536DF35B" w14:textId="77777777" w:rsidR="000F16C4" w:rsidRDefault="000F16C4" w:rsidP="000972AF">
            <w:pPr>
              <w:widowControl w:val="0"/>
              <w:autoSpaceDE w:val="0"/>
              <w:autoSpaceDN w:val="0"/>
              <w:adjustRightInd w:val="0"/>
              <w:spacing w:after="0" w:line="240" w:lineRule="auto"/>
              <w:jc w:val="center"/>
              <w:rPr>
                <w:szCs w:val="24"/>
              </w:rPr>
            </w:pPr>
            <w:r>
              <w:rPr>
                <w:szCs w:val="24"/>
              </w:rPr>
              <w:t>(0.15)</w:t>
            </w:r>
          </w:p>
        </w:tc>
      </w:tr>
      <w:tr w:rsidR="000F16C4" w14:paraId="28FF8CF9" w14:textId="77777777" w:rsidTr="000972AF">
        <w:trPr>
          <w:jc w:val="center"/>
        </w:trPr>
        <w:tc>
          <w:tcPr>
            <w:tcW w:w="1425" w:type="pct"/>
            <w:tcBorders>
              <w:top w:val="nil"/>
              <w:left w:val="nil"/>
              <w:bottom w:val="nil"/>
              <w:right w:val="nil"/>
            </w:tcBorders>
          </w:tcPr>
          <w:p w14:paraId="5FE7FE15" w14:textId="77777777" w:rsidR="000F16C4" w:rsidRDefault="000F16C4" w:rsidP="000972AF">
            <w:pPr>
              <w:widowControl w:val="0"/>
              <w:autoSpaceDE w:val="0"/>
              <w:autoSpaceDN w:val="0"/>
              <w:adjustRightInd w:val="0"/>
              <w:spacing w:after="0" w:line="240" w:lineRule="auto"/>
              <w:rPr>
                <w:szCs w:val="24"/>
              </w:rPr>
            </w:pPr>
            <w:r>
              <w:rPr>
                <w:szCs w:val="24"/>
              </w:rPr>
              <w:t>Big city</w:t>
            </w:r>
          </w:p>
        </w:tc>
        <w:tc>
          <w:tcPr>
            <w:tcW w:w="698" w:type="pct"/>
            <w:tcBorders>
              <w:top w:val="nil"/>
              <w:left w:val="nil"/>
              <w:bottom w:val="nil"/>
              <w:right w:val="nil"/>
            </w:tcBorders>
          </w:tcPr>
          <w:p w14:paraId="620B5D98" w14:textId="77777777" w:rsidR="000F16C4" w:rsidRDefault="000F16C4" w:rsidP="000972AF">
            <w:pPr>
              <w:widowControl w:val="0"/>
              <w:autoSpaceDE w:val="0"/>
              <w:autoSpaceDN w:val="0"/>
              <w:adjustRightInd w:val="0"/>
              <w:spacing w:after="0" w:line="240" w:lineRule="auto"/>
              <w:jc w:val="center"/>
              <w:rPr>
                <w:szCs w:val="24"/>
              </w:rPr>
            </w:pPr>
            <w:r>
              <w:rPr>
                <w:szCs w:val="24"/>
              </w:rPr>
              <w:t>1.31*</w:t>
            </w:r>
          </w:p>
        </w:tc>
        <w:tc>
          <w:tcPr>
            <w:tcW w:w="753" w:type="pct"/>
            <w:tcBorders>
              <w:top w:val="nil"/>
              <w:left w:val="nil"/>
              <w:bottom w:val="nil"/>
              <w:right w:val="nil"/>
            </w:tcBorders>
          </w:tcPr>
          <w:p w14:paraId="6912749F" w14:textId="77777777" w:rsidR="000F16C4" w:rsidRDefault="000F16C4" w:rsidP="000972AF">
            <w:pPr>
              <w:widowControl w:val="0"/>
              <w:autoSpaceDE w:val="0"/>
              <w:autoSpaceDN w:val="0"/>
              <w:adjustRightInd w:val="0"/>
              <w:spacing w:after="0" w:line="240" w:lineRule="auto"/>
              <w:jc w:val="center"/>
              <w:rPr>
                <w:szCs w:val="24"/>
              </w:rPr>
            </w:pPr>
            <w:r>
              <w:rPr>
                <w:szCs w:val="24"/>
              </w:rPr>
              <w:t>1.24</w:t>
            </w:r>
          </w:p>
        </w:tc>
        <w:tc>
          <w:tcPr>
            <w:tcW w:w="698" w:type="pct"/>
            <w:tcBorders>
              <w:top w:val="nil"/>
              <w:left w:val="nil"/>
              <w:bottom w:val="nil"/>
              <w:right w:val="nil"/>
            </w:tcBorders>
          </w:tcPr>
          <w:p w14:paraId="0410E0E4" w14:textId="77777777" w:rsidR="000F16C4" w:rsidRDefault="000F16C4" w:rsidP="000972AF">
            <w:pPr>
              <w:widowControl w:val="0"/>
              <w:autoSpaceDE w:val="0"/>
              <w:autoSpaceDN w:val="0"/>
              <w:adjustRightInd w:val="0"/>
              <w:spacing w:after="0" w:line="240" w:lineRule="auto"/>
              <w:jc w:val="center"/>
              <w:rPr>
                <w:szCs w:val="24"/>
              </w:rPr>
            </w:pPr>
            <w:r>
              <w:rPr>
                <w:szCs w:val="24"/>
              </w:rPr>
              <w:t>0.88</w:t>
            </w:r>
          </w:p>
        </w:tc>
        <w:tc>
          <w:tcPr>
            <w:tcW w:w="728" w:type="pct"/>
            <w:tcBorders>
              <w:top w:val="nil"/>
              <w:left w:val="nil"/>
              <w:bottom w:val="nil"/>
              <w:right w:val="nil"/>
            </w:tcBorders>
          </w:tcPr>
          <w:p w14:paraId="1690383D" w14:textId="77777777" w:rsidR="000F16C4" w:rsidRDefault="000F16C4" w:rsidP="000972AF">
            <w:pPr>
              <w:widowControl w:val="0"/>
              <w:autoSpaceDE w:val="0"/>
              <w:autoSpaceDN w:val="0"/>
              <w:adjustRightInd w:val="0"/>
              <w:spacing w:after="0" w:line="240" w:lineRule="auto"/>
              <w:jc w:val="center"/>
              <w:rPr>
                <w:szCs w:val="24"/>
              </w:rPr>
            </w:pPr>
            <w:r>
              <w:rPr>
                <w:szCs w:val="24"/>
              </w:rPr>
              <w:t>0.83</w:t>
            </w:r>
          </w:p>
        </w:tc>
        <w:tc>
          <w:tcPr>
            <w:tcW w:w="697" w:type="pct"/>
            <w:tcBorders>
              <w:top w:val="nil"/>
              <w:left w:val="nil"/>
              <w:bottom w:val="nil"/>
              <w:right w:val="nil"/>
            </w:tcBorders>
          </w:tcPr>
          <w:p w14:paraId="35CA327C" w14:textId="77777777" w:rsidR="000F16C4" w:rsidRDefault="000F16C4" w:rsidP="000972AF">
            <w:pPr>
              <w:widowControl w:val="0"/>
              <w:autoSpaceDE w:val="0"/>
              <w:autoSpaceDN w:val="0"/>
              <w:adjustRightInd w:val="0"/>
              <w:spacing w:after="0" w:line="240" w:lineRule="auto"/>
              <w:jc w:val="center"/>
              <w:rPr>
                <w:szCs w:val="24"/>
              </w:rPr>
            </w:pPr>
            <w:r>
              <w:rPr>
                <w:szCs w:val="24"/>
              </w:rPr>
              <w:t>1.05</w:t>
            </w:r>
          </w:p>
        </w:tc>
      </w:tr>
      <w:tr w:rsidR="000F16C4" w14:paraId="2EA7E0ED" w14:textId="77777777" w:rsidTr="000972AF">
        <w:trPr>
          <w:jc w:val="center"/>
        </w:trPr>
        <w:tc>
          <w:tcPr>
            <w:tcW w:w="1425" w:type="pct"/>
            <w:tcBorders>
              <w:top w:val="nil"/>
              <w:left w:val="nil"/>
              <w:bottom w:val="nil"/>
              <w:right w:val="nil"/>
            </w:tcBorders>
          </w:tcPr>
          <w:p w14:paraId="6ED002B2" w14:textId="77777777" w:rsidR="000F16C4" w:rsidRDefault="000F16C4" w:rsidP="000972AF">
            <w:pPr>
              <w:widowControl w:val="0"/>
              <w:autoSpaceDE w:val="0"/>
              <w:autoSpaceDN w:val="0"/>
              <w:adjustRightInd w:val="0"/>
              <w:spacing w:after="0" w:line="240" w:lineRule="auto"/>
              <w:rPr>
                <w:szCs w:val="24"/>
              </w:rPr>
            </w:pPr>
          </w:p>
        </w:tc>
        <w:tc>
          <w:tcPr>
            <w:tcW w:w="698" w:type="pct"/>
            <w:tcBorders>
              <w:top w:val="nil"/>
              <w:left w:val="nil"/>
              <w:bottom w:val="nil"/>
              <w:right w:val="nil"/>
            </w:tcBorders>
          </w:tcPr>
          <w:p w14:paraId="3D04697D" w14:textId="77777777" w:rsidR="000F16C4" w:rsidRDefault="000F16C4" w:rsidP="000972AF">
            <w:pPr>
              <w:widowControl w:val="0"/>
              <w:autoSpaceDE w:val="0"/>
              <w:autoSpaceDN w:val="0"/>
              <w:adjustRightInd w:val="0"/>
              <w:spacing w:after="0" w:line="240" w:lineRule="auto"/>
              <w:jc w:val="center"/>
              <w:rPr>
                <w:szCs w:val="24"/>
              </w:rPr>
            </w:pPr>
            <w:r>
              <w:rPr>
                <w:szCs w:val="24"/>
              </w:rPr>
              <w:t>(0.17)</w:t>
            </w:r>
          </w:p>
        </w:tc>
        <w:tc>
          <w:tcPr>
            <w:tcW w:w="753" w:type="pct"/>
            <w:tcBorders>
              <w:top w:val="nil"/>
              <w:left w:val="nil"/>
              <w:bottom w:val="nil"/>
              <w:right w:val="nil"/>
            </w:tcBorders>
          </w:tcPr>
          <w:p w14:paraId="6D4FBFF1" w14:textId="77777777" w:rsidR="000F16C4" w:rsidRDefault="000F16C4" w:rsidP="000972AF">
            <w:pPr>
              <w:widowControl w:val="0"/>
              <w:autoSpaceDE w:val="0"/>
              <w:autoSpaceDN w:val="0"/>
              <w:adjustRightInd w:val="0"/>
              <w:spacing w:after="0" w:line="240" w:lineRule="auto"/>
              <w:jc w:val="center"/>
              <w:rPr>
                <w:szCs w:val="24"/>
              </w:rPr>
            </w:pPr>
            <w:r>
              <w:rPr>
                <w:szCs w:val="24"/>
              </w:rPr>
              <w:t>(0.17)</w:t>
            </w:r>
          </w:p>
        </w:tc>
        <w:tc>
          <w:tcPr>
            <w:tcW w:w="698" w:type="pct"/>
            <w:tcBorders>
              <w:top w:val="nil"/>
              <w:left w:val="nil"/>
              <w:bottom w:val="nil"/>
              <w:right w:val="nil"/>
            </w:tcBorders>
          </w:tcPr>
          <w:p w14:paraId="27837118" w14:textId="77777777" w:rsidR="000F16C4" w:rsidRDefault="000F16C4" w:rsidP="000972AF">
            <w:pPr>
              <w:widowControl w:val="0"/>
              <w:autoSpaceDE w:val="0"/>
              <w:autoSpaceDN w:val="0"/>
              <w:adjustRightInd w:val="0"/>
              <w:spacing w:after="0" w:line="240" w:lineRule="auto"/>
              <w:jc w:val="center"/>
              <w:rPr>
                <w:szCs w:val="24"/>
              </w:rPr>
            </w:pPr>
            <w:r>
              <w:rPr>
                <w:szCs w:val="24"/>
              </w:rPr>
              <w:t>(0.11)</w:t>
            </w:r>
          </w:p>
        </w:tc>
        <w:tc>
          <w:tcPr>
            <w:tcW w:w="728" w:type="pct"/>
            <w:tcBorders>
              <w:top w:val="nil"/>
              <w:left w:val="nil"/>
              <w:bottom w:val="nil"/>
              <w:right w:val="nil"/>
            </w:tcBorders>
          </w:tcPr>
          <w:p w14:paraId="789678F6" w14:textId="77777777" w:rsidR="000F16C4" w:rsidRDefault="000F16C4" w:rsidP="000972AF">
            <w:pPr>
              <w:widowControl w:val="0"/>
              <w:autoSpaceDE w:val="0"/>
              <w:autoSpaceDN w:val="0"/>
              <w:adjustRightInd w:val="0"/>
              <w:spacing w:after="0" w:line="240" w:lineRule="auto"/>
              <w:jc w:val="center"/>
              <w:rPr>
                <w:szCs w:val="24"/>
              </w:rPr>
            </w:pPr>
            <w:r>
              <w:rPr>
                <w:szCs w:val="24"/>
              </w:rPr>
              <w:t>(0.11)</w:t>
            </w:r>
          </w:p>
        </w:tc>
        <w:tc>
          <w:tcPr>
            <w:tcW w:w="697" w:type="pct"/>
            <w:tcBorders>
              <w:top w:val="nil"/>
              <w:left w:val="nil"/>
              <w:bottom w:val="nil"/>
              <w:right w:val="nil"/>
            </w:tcBorders>
          </w:tcPr>
          <w:p w14:paraId="3FAB6E01" w14:textId="77777777" w:rsidR="000F16C4" w:rsidRDefault="000F16C4" w:rsidP="000972AF">
            <w:pPr>
              <w:widowControl w:val="0"/>
              <w:autoSpaceDE w:val="0"/>
              <w:autoSpaceDN w:val="0"/>
              <w:adjustRightInd w:val="0"/>
              <w:spacing w:after="0" w:line="240" w:lineRule="auto"/>
              <w:jc w:val="center"/>
              <w:rPr>
                <w:szCs w:val="24"/>
              </w:rPr>
            </w:pPr>
            <w:r>
              <w:rPr>
                <w:szCs w:val="24"/>
              </w:rPr>
              <w:t>(0.14)</w:t>
            </w:r>
          </w:p>
        </w:tc>
      </w:tr>
      <w:tr w:rsidR="000F16C4" w14:paraId="31EE6CE1" w14:textId="77777777" w:rsidTr="000972AF">
        <w:trPr>
          <w:jc w:val="center"/>
        </w:trPr>
        <w:tc>
          <w:tcPr>
            <w:tcW w:w="1425" w:type="pct"/>
            <w:vMerge w:val="restart"/>
            <w:tcBorders>
              <w:top w:val="nil"/>
              <w:left w:val="nil"/>
              <w:right w:val="nil"/>
            </w:tcBorders>
          </w:tcPr>
          <w:p w14:paraId="796C9F4A" w14:textId="77777777" w:rsidR="000F16C4" w:rsidRDefault="000F16C4" w:rsidP="000972AF">
            <w:pPr>
              <w:widowControl w:val="0"/>
              <w:autoSpaceDE w:val="0"/>
              <w:autoSpaceDN w:val="0"/>
              <w:adjustRightInd w:val="0"/>
              <w:spacing w:after="0" w:line="240" w:lineRule="auto"/>
              <w:rPr>
                <w:szCs w:val="24"/>
              </w:rPr>
            </w:pPr>
            <w:r>
              <w:rPr>
                <w:szCs w:val="24"/>
              </w:rPr>
              <w:t>Log R&amp;D expenditure</w:t>
            </w:r>
          </w:p>
        </w:tc>
        <w:tc>
          <w:tcPr>
            <w:tcW w:w="698" w:type="pct"/>
            <w:tcBorders>
              <w:top w:val="nil"/>
              <w:left w:val="nil"/>
              <w:bottom w:val="nil"/>
              <w:right w:val="nil"/>
            </w:tcBorders>
          </w:tcPr>
          <w:p w14:paraId="5727C6C1" w14:textId="77777777" w:rsidR="000F16C4" w:rsidRDefault="000F16C4" w:rsidP="000972AF">
            <w:pPr>
              <w:widowControl w:val="0"/>
              <w:autoSpaceDE w:val="0"/>
              <w:autoSpaceDN w:val="0"/>
              <w:adjustRightInd w:val="0"/>
              <w:spacing w:after="0" w:line="240" w:lineRule="auto"/>
              <w:jc w:val="center"/>
              <w:rPr>
                <w:szCs w:val="24"/>
              </w:rPr>
            </w:pPr>
            <w:r>
              <w:rPr>
                <w:szCs w:val="24"/>
              </w:rPr>
              <w:t>1.20***</w:t>
            </w:r>
          </w:p>
        </w:tc>
        <w:tc>
          <w:tcPr>
            <w:tcW w:w="753" w:type="pct"/>
            <w:tcBorders>
              <w:top w:val="nil"/>
              <w:left w:val="nil"/>
              <w:bottom w:val="nil"/>
              <w:right w:val="nil"/>
            </w:tcBorders>
          </w:tcPr>
          <w:p w14:paraId="2C00B11B" w14:textId="77777777" w:rsidR="000F16C4" w:rsidRDefault="000F16C4" w:rsidP="000972AF">
            <w:pPr>
              <w:widowControl w:val="0"/>
              <w:autoSpaceDE w:val="0"/>
              <w:autoSpaceDN w:val="0"/>
              <w:adjustRightInd w:val="0"/>
              <w:spacing w:after="0" w:line="240" w:lineRule="auto"/>
              <w:jc w:val="center"/>
              <w:rPr>
                <w:szCs w:val="24"/>
              </w:rPr>
            </w:pPr>
            <w:r>
              <w:rPr>
                <w:szCs w:val="24"/>
              </w:rPr>
              <w:t>1.19***</w:t>
            </w:r>
          </w:p>
        </w:tc>
        <w:tc>
          <w:tcPr>
            <w:tcW w:w="698" w:type="pct"/>
            <w:tcBorders>
              <w:top w:val="nil"/>
              <w:left w:val="nil"/>
              <w:bottom w:val="nil"/>
              <w:right w:val="nil"/>
            </w:tcBorders>
          </w:tcPr>
          <w:p w14:paraId="31972E3A" w14:textId="77777777" w:rsidR="000F16C4" w:rsidRDefault="000F16C4" w:rsidP="000972AF">
            <w:pPr>
              <w:widowControl w:val="0"/>
              <w:autoSpaceDE w:val="0"/>
              <w:autoSpaceDN w:val="0"/>
              <w:adjustRightInd w:val="0"/>
              <w:spacing w:after="0" w:line="240" w:lineRule="auto"/>
              <w:jc w:val="center"/>
              <w:rPr>
                <w:szCs w:val="24"/>
              </w:rPr>
            </w:pPr>
            <w:r>
              <w:rPr>
                <w:szCs w:val="24"/>
              </w:rPr>
              <w:t>1.14***</w:t>
            </w:r>
          </w:p>
        </w:tc>
        <w:tc>
          <w:tcPr>
            <w:tcW w:w="728" w:type="pct"/>
            <w:tcBorders>
              <w:top w:val="nil"/>
              <w:left w:val="nil"/>
              <w:bottom w:val="nil"/>
              <w:right w:val="nil"/>
            </w:tcBorders>
          </w:tcPr>
          <w:p w14:paraId="0FD5439C" w14:textId="77777777" w:rsidR="000F16C4" w:rsidRDefault="000F16C4" w:rsidP="000972AF">
            <w:pPr>
              <w:widowControl w:val="0"/>
              <w:autoSpaceDE w:val="0"/>
              <w:autoSpaceDN w:val="0"/>
              <w:adjustRightInd w:val="0"/>
              <w:spacing w:after="0" w:line="240" w:lineRule="auto"/>
              <w:jc w:val="center"/>
              <w:rPr>
                <w:szCs w:val="24"/>
              </w:rPr>
            </w:pPr>
            <w:r>
              <w:rPr>
                <w:szCs w:val="24"/>
              </w:rPr>
              <w:t>1.07***</w:t>
            </w:r>
          </w:p>
        </w:tc>
        <w:tc>
          <w:tcPr>
            <w:tcW w:w="697" w:type="pct"/>
            <w:tcBorders>
              <w:top w:val="nil"/>
              <w:left w:val="nil"/>
              <w:bottom w:val="nil"/>
              <w:right w:val="nil"/>
            </w:tcBorders>
          </w:tcPr>
          <w:p w14:paraId="038F77AA" w14:textId="77777777" w:rsidR="000F16C4" w:rsidRDefault="000F16C4" w:rsidP="000972AF">
            <w:pPr>
              <w:widowControl w:val="0"/>
              <w:autoSpaceDE w:val="0"/>
              <w:autoSpaceDN w:val="0"/>
              <w:adjustRightInd w:val="0"/>
              <w:spacing w:after="0" w:line="240" w:lineRule="auto"/>
              <w:jc w:val="center"/>
              <w:rPr>
                <w:szCs w:val="24"/>
              </w:rPr>
            </w:pPr>
            <w:r>
              <w:rPr>
                <w:szCs w:val="24"/>
              </w:rPr>
              <w:t>1.09***</w:t>
            </w:r>
          </w:p>
        </w:tc>
      </w:tr>
      <w:tr w:rsidR="000F16C4" w14:paraId="6C751F8F" w14:textId="77777777" w:rsidTr="000972AF">
        <w:trPr>
          <w:jc w:val="center"/>
        </w:trPr>
        <w:tc>
          <w:tcPr>
            <w:tcW w:w="1425" w:type="pct"/>
            <w:vMerge/>
            <w:tcBorders>
              <w:left w:val="nil"/>
              <w:bottom w:val="nil"/>
              <w:right w:val="nil"/>
            </w:tcBorders>
          </w:tcPr>
          <w:p w14:paraId="22D3CF74" w14:textId="77777777" w:rsidR="000F16C4" w:rsidRDefault="000F16C4" w:rsidP="000972AF">
            <w:pPr>
              <w:widowControl w:val="0"/>
              <w:autoSpaceDE w:val="0"/>
              <w:autoSpaceDN w:val="0"/>
              <w:adjustRightInd w:val="0"/>
              <w:spacing w:after="0" w:line="240" w:lineRule="auto"/>
              <w:rPr>
                <w:szCs w:val="24"/>
              </w:rPr>
            </w:pPr>
          </w:p>
        </w:tc>
        <w:tc>
          <w:tcPr>
            <w:tcW w:w="698" w:type="pct"/>
            <w:tcBorders>
              <w:top w:val="nil"/>
              <w:left w:val="nil"/>
              <w:bottom w:val="nil"/>
              <w:right w:val="nil"/>
            </w:tcBorders>
          </w:tcPr>
          <w:p w14:paraId="32CA5535" w14:textId="77777777" w:rsidR="000F16C4" w:rsidRDefault="000F16C4" w:rsidP="000972AF">
            <w:pPr>
              <w:widowControl w:val="0"/>
              <w:autoSpaceDE w:val="0"/>
              <w:autoSpaceDN w:val="0"/>
              <w:adjustRightInd w:val="0"/>
              <w:spacing w:after="0" w:line="240" w:lineRule="auto"/>
              <w:jc w:val="center"/>
              <w:rPr>
                <w:szCs w:val="24"/>
              </w:rPr>
            </w:pPr>
            <w:r>
              <w:rPr>
                <w:szCs w:val="24"/>
              </w:rPr>
              <w:t>(0.01)</w:t>
            </w:r>
          </w:p>
        </w:tc>
        <w:tc>
          <w:tcPr>
            <w:tcW w:w="753" w:type="pct"/>
            <w:tcBorders>
              <w:top w:val="nil"/>
              <w:left w:val="nil"/>
              <w:bottom w:val="nil"/>
              <w:right w:val="nil"/>
            </w:tcBorders>
          </w:tcPr>
          <w:p w14:paraId="17339159" w14:textId="77777777" w:rsidR="000F16C4" w:rsidRDefault="000F16C4" w:rsidP="000972AF">
            <w:pPr>
              <w:widowControl w:val="0"/>
              <w:autoSpaceDE w:val="0"/>
              <w:autoSpaceDN w:val="0"/>
              <w:adjustRightInd w:val="0"/>
              <w:spacing w:after="0" w:line="240" w:lineRule="auto"/>
              <w:jc w:val="center"/>
              <w:rPr>
                <w:szCs w:val="24"/>
              </w:rPr>
            </w:pPr>
            <w:r>
              <w:rPr>
                <w:szCs w:val="24"/>
              </w:rPr>
              <w:t>(0.02)</w:t>
            </w:r>
          </w:p>
        </w:tc>
        <w:tc>
          <w:tcPr>
            <w:tcW w:w="698" w:type="pct"/>
            <w:tcBorders>
              <w:top w:val="nil"/>
              <w:left w:val="nil"/>
              <w:bottom w:val="nil"/>
              <w:right w:val="nil"/>
            </w:tcBorders>
          </w:tcPr>
          <w:p w14:paraId="305BB490" w14:textId="77777777" w:rsidR="000F16C4" w:rsidRDefault="000F16C4" w:rsidP="000972AF">
            <w:pPr>
              <w:widowControl w:val="0"/>
              <w:autoSpaceDE w:val="0"/>
              <w:autoSpaceDN w:val="0"/>
              <w:adjustRightInd w:val="0"/>
              <w:spacing w:after="0" w:line="240" w:lineRule="auto"/>
              <w:jc w:val="center"/>
              <w:rPr>
                <w:szCs w:val="24"/>
              </w:rPr>
            </w:pPr>
            <w:r>
              <w:rPr>
                <w:szCs w:val="24"/>
              </w:rPr>
              <w:t>(0.01)</w:t>
            </w:r>
          </w:p>
        </w:tc>
        <w:tc>
          <w:tcPr>
            <w:tcW w:w="728" w:type="pct"/>
            <w:tcBorders>
              <w:top w:val="nil"/>
              <w:left w:val="nil"/>
              <w:bottom w:val="nil"/>
              <w:right w:val="nil"/>
            </w:tcBorders>
          </w:tcPr>
          <w:p w14:paraId="492AB8C0" w14:textId="77777777" w:rsidR="000F16C4" w:rsidRDefault="000F16C4" w:rsidP="000972AF">
            <w:pPr>
              <w:widowControl w:val="0"/>
              <w:autoSpaceDE w:val="0"/>
              <w:autoSpaceDN w:val="0"/>
              <w:adjustRightInd w:val="0"/>
              <w:spacing w:after="0" w:line="240" w:lineRule="auto"/>
              <w:jc w:val="center"/>
              <w:rPr>
                <w:szCs w:val="24"/>
              </w:rPr>
            </w:pPr>
            <w:r>
              <w:rPr>
                <w:szCs w:val="24"/>
              </w:rPr>
              <w:t>(0.01)</w:t>
            </w:r>
          </w:p>
        </w:tc>
        <w:tc>
          <w:tcPr>
            <w:tcW w:w="697" w:type="pct"/>
            <w:tcBorders>
              <w:top w:val="nil"/>
              <w:left w:val="nil"/>
              <w:bottom w:val="nil"/>
              <w:right w:val="nil"/>
            </w:tcBorders>
          </w:tcPr>
          <w:p w14:paraId="06FE7FAF" w14:textId="77777777" w:rsidR="000F16C4" w:rsidRDefault="000F16C4" w:rsidP="000972AF">
            <w:pPr>
              <w:widowControl w:val="0"/>
              <w:autoSpaceDE w:val="0"/>
              <w:autoSpaceDN w:val="0"/>
              <w:adjustRightInd w:val="0"/>
              <w:spacing w:after="0" w:line="240" w:lineRule="auto"/>
              <w:jc w:val="center"/>
              <w:rPr>
                <w:szCs w:val="24"/>
              </w:rPr>
            </w:pPr>
            <w:r>
              <w:rPr>
                <w:szCs w:val="24"/>
              </w:rPr>
              <w:t>(0.01)</w:t>
            </w:r>
          </w:p>
        </w:tc>
      </w:tr>
      <w:tr w:rsidR="000F16C4" w14:paraId="75119776" w14:textId="77777777" w:rsidTr="000972AF">
        <w:trPr>
          <w:jc w:val="center"/>
        </w:trPr>
        <w:tc>
          <w:tcPr>
            <w:tcW w:w="1425" w:type="pct"/>
            <w:vMerge w:val="restart"/>
            <w:tcBorders>
              <w:top w:val="nil"/>
              <w:left w:val="nil"/>
              <w:right w:val="nil"/>
            </w:tcBorders>
          </w:tcPr>
          <w:p w14:paraId="6448999F" w14:textId="77777777" w:rsidR="000F16C4" w:rsidRDefault="000F16C4" w:rsidP="000972AF">
            <w:pPr>
              <w:widowControl w:val="0"/>
              <w:autoSpaceDE w:val="0"/>
              <w:autoSpaceDN w:val="0"/>
              <w:adjustRightInd w:val="0"/>
              <w:spacing w:after="0" w:line="240" w:lineRule="auto"/>
              <w:rPr>
                <w:szCs w:val="24"/>
              </w:rPr>
            </w:pPr>
            <w:r>
              <w:rPr>
                <w:szCs w:val="24"/>
              </w:rPr>
              <w:t>Log no. of employees</w:t>
            </w:r>
          </w:p>
        </w:tc>
        <w:tc>
          <w:tcPr>
            <w:tcW w:w="698" w:type="pct"/>
            <w:tcBorders>
              <w:top w:val="nil"/>
              <w:left w:val="nil"/>
              <w:bottom w:val="nil"/>
              <w:right w:val="nil"/>
            </w:tcBorders>
          </w:tcPr>
          <w:p w14:paraId="503A5F86" w14:textId="77777777" w:rsidR="000F16C4" w:rsidRDefault="000F16C4" w:rsidP="000972AF">
            <w:pPr>
              <w:widowControl w:val="0"/>
              <w:autoSpaceDE w:val="0"/>
              <w:autoSpaceDN w:val="0"/>
              <w:adjustRightInd w:val="0"/>
              <w:spacing w:after="0" w:line="240" w:lineRule="auto"/>
              <w:jc w:val="center"/>
              <w:rPr>
                <w:szCs w:val="24"/>
              </w:rPr>
            </w:pPr>
            <w:r>
              <w:rPr>
                <w:szCs w:val="24"/>
              </w:rPr>
              <w:t>0.91**</w:t>
            </w:r>
          </w:p>
        </w:tc>
        <w:tc>
          <w:tcPr>
            <w:tcW w:w="753" w:type="pct"/>
            <w:tcBorders>
              <w:top w:val="nil"/>
              <w:left w:val="nil"/>
              <w:bottom w:val="nil"/>
              <w:right w:val="nil"/>
            </w:tcBorders>
          </w:tcPr>
          <w:p w14:paraId="6A6F6DB2" w14:textId="77777777" w:rsidR="000F16C4" w:rsidRDefault="000F16C4" w:rsidP="000972AF">
            <w:pPr>
              <w:widowControl w:val="0"/>
              <w:autoSpaceDE w:val="0"/>
              <w:autoSpaceDN w:val="0"/>
              <w:adjustRightInd w:val="0"/>
              <w:spacing w:after="0" w:line="240" w:lineRule="auto"/>
              <w:jc w:val="center"/>
              <w:rPr>
                <w:szCs w:val="24"/>
              </w:rPr>
            </w:pPr>
            <w:r>
              <w:rPr>
                <w:szCs w:val="24"/>
              </w:rPr>
              <w:t>0.91**</w:t>
            </w:r>
          </w:p>
        </w:tc>
        <w:tc>
          <w:tcPr>
            <w:tcW w:w="698" w:type="pct"/>
            <w:tcBorders>
              <w:top w:val="nil"/>
              <w:left w:val="nil"/>
              <w:bottom w:val="nil"/>
              <w:right w:val="nil"/>
            </w:tcBorders>
          </w:tcPr>
          <w:p w14:paraId="4FD03395" w14:textId="77777777" w:rsidR="000F16C4" w:rsidRDefault="000F16C4" w:rsidP="000972AF">
            <w:pPr>
              <w:widowControl w:val="0"/>
              <w:autoSpaceDE w:val="0"/>
              <w:autoSpaceDN w:val="0"/>
              <w:adjustRightInd w:val="0"/>
              <w:spacing w:after="0" w:line="240" w:lineRule="auto"/>
              <w:jc w:val="center"/>
              <w:rPr>
                <w:szCs w:val="24"/>
              </w:rPr>
            </w:pPr>
            <w:r>
              <w:rPr>
                <w:szCs w:val="24"/>
              </w:rPr>
              <w:t>0.99</w:t>
            </w:r>
          </w:p>
        </w:tc>
        <w:tc>
          <w:tcPr>
            <w:tcW w:w="728" w:type="pct"/>
            <w:tcBorders>
              <w:top w:val="nil"/>
              <w:left w:val="nil"/>
              <w:bottom w:val="nil"/>
              <w:right w:val="nil"/>
            </w:tcBorders>
          </w:tcPr>
          <w:p w14:paraId="0157C6E1" w14:textId="77777777" w:rsidR="000F16C4" w:rsidRDefault="000F16C4" w:rsidP="000972AF">
            <w:pPr>
              <w:widowControl w:val="0"/>
              <w:autoSpaceDE w:val="0"/>
              <w:autoSpaceDN w:val="0"/>
              <w:adjustRightInd w:val="0"/>
              <w:spacing w:after="0" w:line="240" w:lineRule="auto"/>
              <w:jc w:val="center"/>
              <w:rPr>
                <w:szCs w:val="24"/>
              </w:rPr>
            </w:pPr>
            <w:r>
              <w:rPr>
                <w:szCs w:val="24"/>
              </w:rPr>
              <w:t>1.16***</w:t>
            </w:r>
          </w:p>
        </w:tc>
        <w:tc>
          <w:tcPr>
            <w:tcW w:w="697" w:type="pct"/>
            <w:tcBorders>
              <w:top w:val="nil"/>
              <w:left w:val="nil"/>
              <w:bottom w:val="nil"/>
              <w:right w:val="nil"/>
            </w:tcBorders>
          </w:tcPr>
          <w:p w14:paraId="1F7560DC" w14:textId="77777777" w:rsidR="000F16C4" w:rsidRDefault="000F16C4" w:rsidP="000972AF">
            <w:pPr>
              <w:widowControl w:val="0"/>
              <w:autoSpaceDE w:val="0"/>
              <w:autoSpaceDN w:val="0"/>
              <w:adjustRightInd w:val="0"/>
              <w:spacing w:after="0" w:line="240" w:lineRule="auto"/>
              <w:jc w:val="center"/>
              <w:rPr>
                <w:szCs w:val="24"/>
              </w:rPr>
            </w:pPr>
            <w:r>
              <w:rPr>
                <w:szCs w:val="24"/>
              </w:rPr>
              <w:t>0.98</w:t>
            </w:r>
          </w:p>
        </w:tc>
      </w:tr>
      <w:tr w:rsidR="000F16C4" w14:paraId="55CB7376" w14:textId="77777777" w:rsidTr="000972AF">
        <w:trPr>
          <w:jc w:val="center"/>
        </w:trPr>
        <w:tc>
          <w:tcPr>
            <w:tcW w:w="1425" w:type="pct"/>
            <w:vMerge/>
            <w:tcBorders>
              <w:left w:val="nil"/>
              <w:bottom w:val="nil"/>
              <w:right w:val="nil"/>
            </w:tcBorders>
          </w:tcPr>
          <w:p w14:paraId="3EEC7068" w14:textId="77777777" w:rsidR="000F16C4" w:rsidRDefault="000F16C4" w:rsidP="000972AF">
            <w:pPr>
              <w:widowControl w:val="0"/>
              <w:autoSpaceDE w:val="0"/>
              <w:autoSpaceDN w:val="0"/>
              <w:adjustRightInd w:val="0"/>
              <w:spacing w:after="0" w:line="240" w:lineRule="auto"/>
              <w:rPr>
                <w:szCs w:val="24"/>
              </w:rPr>
            </w:pPr>
          </w:p>
        </w:tc>
        <w:tc>
          <w:tcPr>
            <w:tcW w:w="698" w:type="pct"/>
            <w:tcBorders>
              <w:top w:val="nil"/>
              <w:left w:val="nil"/>
              <w:bottom w:val="nil"/>
              <w:right w:val="nil"/>
            </w:tcBorders>
          </w:tcPr>
          <w:p w14:paraId="0FA1229F"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753" w:type="pct"/>
            <w:tcBorders>
              <w:top w:val="nil"/>
              <w:left w:val="nil"/>
              <w:bottom w:val="nil"/>
              <w:right w:val="nil"/>
            </w:tcBorders>
          </w:tcPr>
          <w:p w14:paraId="33B9E343"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698" w:type="pct"/>
            <w:tcBorders>
              <w:top w:val="nil"/>
              <w:left w:val="nil"/>
              <w:bottom w:val="nil"/>
              <w:right w:val="nil"/>
            </w:tcBorders>
          </w:tcPr>
          <w:p w14:paraId="7D504F56"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728" w:type="pct"/>
            <w:tcBorders>
              <w:top w:val="nil"/>
              <w:left w:val="nil"/>
              <w:bottom w:val="nil"/>
              <w:right w:val="nil"/>
            </w:tcBorders>
          </w:tcPr>
          <w:p w14:paraId="0D0099D2" w14:textId="77777777" w:rsidR="000F16C4" w:rsidRDefault="000F16C4" w:rsidP="000972AF">
            <w:pPr>
              <w:widowControl w:val="0"/>
              <w:autoSpaceDE w:val="0"/>
              <w:autoSpaceDN w:val="0"/>
              <w:adjustRightInd w:val="0"/>
              <w:spacing w:after="0" w:line="240" w:lineRule="auto"/>
              <w:jc w:val="center"/>
              <w:rPr>
                <w:szCs w:val="24"/>
              </w:rPr>
            </w:pPr>
            <w:r>
              <w:rPr>
                <w:szCs w:val="24"/>
              </w:rPr>
              <w:t>(0.05)</w:t>
            </w:r>
          </w:p>
        </w:tc>
        <w:tc>
          <w:tcPr>
            <w:tcW w:w="697" w:type="pct"/>
            <w:tcBorders>
              <w:top w:val="nil"/>
              <w:left w:val="nil"/>
              <w:bottom w:val="nil"/>
              <w:right w:val="nil"/>
            </w:tcBorders>
          </w:tcPr>
          <w:p w14:paraId="6B19BF44" w14:textId="77777777" w:rsidR="000F16C4" w:rsidRDefault="000F16C4" w:rsidP="000972AF">
            <w:pPr>
              <w:widowControl w:val="0"/>
              <w:autoSpaceDE w:val="0"/>
              <w:autoSpaceDN w:val="0"/>
              <w:adjustRightInd w:val="0"/>
              <w:spacing w:after="0" w:line="240" w:lineRule="auto"/>
              <w:jc w:val="center"/>
              <w:rPr>
                <w:szCs w:val="24"/>
              </w:rPr>
            </w:pPr>
            <w:r>
              <w:rPr>
                <w:szCs w:val="24"/>
              </w:rPr>
              <w:t>(0.04)</w:t>
            </w:r>
          </w:p>
        </w:tc>
      </w:tr>
      <w:tr w:rsidR="000F16C4" w14:paraId="602F9AC7" w14:textId="77777777" w:rsidTr="000972AF">
        <w:trPr>
          <w:jc w:val="center"/>
        </w:trPr>
        <w:tc>
          <w:tcPr>
            <w:tcW w:w="1425" w:type="pct"/>
            <w:vMerge w:val="restart"/>
            <w:tcBorders>
              <w:top w:val="nil"/>
              <w:left w:val="nil"/>
              <w:right w:val="nil"/>
            </w:tcBorders>
          </w:tcPr>
          <w:p w14:paraId="79195519" w14:textId="77777777" w:rsidR="000F16C4" w:rsidRDefault="000F16C4" w:rsidP="000972AF">
            <w:pPr>
              <w:widowControl w:val="0"/>
              <w:autoSpaceDE w:val="0"/>
              <w:autoSpaceDN w:val="0"/>
              <w:adjustRightInd w:val="0"/>
              <w:spacing w:after="0" w:line="240" w:lineRule="auto"/>
              <w:rPr>
                <w:szCs w:val="24"/>
              </w:rPr>
            </w:pPr>
            <w:r>
              <w:rPr>
                <w:szCs w:val="24"/>
              </w:rPr>
              <w:t>Log % of educated employees</w:t>
            </w:r>
          </w:p>
        </w:tc>
        <w:tc>
          <w:tcPr>
            <w:tcW w:w="698" w:type="pct"/>
            <w:tcBorders>
              <w:top w:val="nil"/>
              <w:left w:val="nil"/>
              <w:bottom w:val="nil"/>
              <w:right w:val="nil"/>
            </w:tcBorders>
          </w:tcPr>
          <w:p w14:paraId="5BE29B1D" w14:textId="77777777" w:rsidR="000F16C4" w:rsidRDefault="000F16C4" w:rsidP="000972AF">
            <w:pPr>
              <w:widowControl w:val="0"/>
              <w:autoSpaceDE w:val="0"/>
              <w:autoSpaceDN w:val="0"/>
              <w:adjustRightInd w:val="0"/>
              <w:spacing w:after="0" w:line="240" w:lineRule="auto"/>
              <w:jc w:val="center"/>
              <w:rPr>
                <w:szCs w:val="24"/>
              </w:rPr>
            </w:pPr>
            <w:r>
              <w:rPr>
                <w:szCs w:val="24"/>
              </w:rPr>
              <w:t>1.19</w:t>
            </w:r>
          </w:p>
        </w:tc>
        <w:tc>
          <w:tcPr>
            <w:tcW w:w="753" w:type="pct"/>
            <w:tcBorders>
              <w:top w:val="nil"/>
              <w:left w:val="nil"/>
              <w:bottom w:val="nil"/>
              <w:right w:val="nil"/>
            </w:tcBorders>
          </w:tcPr>
          <w:p w14:paraId="1F658B44" w14:textId="77777777" w:rsidR="000F16C4" w:rsidRDefault="000F16C4" w:rsidP="000972AF">
            <w:pPr>
              <w:widowControl w:val="0"/>
              <w:autoSpaceDE w:val="0"/>
              <w:autoSpaceDN w:val="0"/>
              <w:adjustRightInd w:val="0"/>
              <w:spacing w:after="0" w:line="240" w:lineRule="auto"/>
              <w:jc w:val="center"/>
              <w:rPr>
                <w:szCs w:val="24"/>
              </w:rPr>
            </w:pPr>
            <w:r>
              <w:rPr>
                <w:szCs w:val="24"/>
              </w:rPr>
              <w:t>1.57</w:t>
            </w:r>
          </w:p>
        </w:tc>
        <w:tc>
          <w:tcPr>
            <w:tcW w:w="698" w:type="pct"/>
            <w:tcBorders>
              <w:top w:val="nil"/>
              <w:left w:val="nil"/>
              <w:bottom w:val="nil"/>
              <w:right w:val="nil"/>
            </w:tcBorders>
          </w:tcPr>
          <w:p w14:paraId="159C807B" w14:textId="77777777" w:rsidR="000F16C4" w:rsidRDefault="000F16C4" w:rsidP="000972AF">
            <w:pPr>
              <w:widowControl w:val="0"/>
              <w:autoSpaceDE w:val="0"/>
              <w:autoSpaceDN w:val="0"/>
              <w:adjustRightInd w:val="0"/>
              <w:spacing w:after="0" w:line="240" w:lineRule="auto"/>
              <w:jc w:val="center"/>
              <w:rPr>
                <w:szCs w:val="24"/>
              </w:rPr>
            </w:pPr>
            <w:r>
              <w:rPr>
                <w:szCs w:val="24"/>
              </w:rPr>
              <w:t>1.03</w:t>
            </w:r>
          </w:p>
        </w:tc>
        <w:tc>
          <w:tcPr>
            <w:tcW w:w="728" w:type="pct"/>
            <w:tcBorders>
              <w:top w:val="nil"/>
              <w:left w:val="nil"/>
              <w:bottom w:val="nil"/>
              <w:right w:val="nil"/>
            </w:tcBorders>
          </w:tcPr>
          <w:p w14:paraId="2FF99AD1" w14:textId="77777777" w:rsidR="000F16C4" w:rsidRDefault="000F16C4" w:rsidP="000972AF">
            <w:pPr>
              <w:widowControl w:val="0"/>
              <w:autoSpaceDE w:val="0"/>
              <w:autoSpaceDN w:val="0"/>
              <w:adjustRightInd w:val="0"/>
              <w:spacing w:after="0" w:line="240" w:lineRule="auto"/>
              <w:jc w:val="center"/>
              <w:rPr>
                <w:szCs w:val="24"/>
              </w:rPr>
            </w:pPr>
            <w:r>
              <w:rPr>
                <w:szCs w:val="24"/>
              </w:rPr>
              <w:t>1.20</w:t>
            </w:r>
          </w:p>
        </w:tc>
        <w:tc>
          <w:tcPr>
            <w:tcW w:w="697" w:type="pct"/>
            <w:tcBorders>
              <w:top w:val="nil"/>
              <w:left w:val="nil"/>
              <w:bottom w:val="nil"/>
              <w:right w:val="nil"/>
            </w:tcBorders>
          </w:tcPr>
          <w:p w14:paraId="15B51D3E" w14:textId="77777777" w:rsidR="000F16C4" w:rsidRDefault="000F16C4" w:rsidP="000972AF">
            <w:pPr>
              <w:widowControl w:val="0"/>
              <w:autoSpaceDE w:val="0"/>
              <w:autoSpaceDN w:val="0"/>
              <w:adjustRightInd w:val="0"/>
              <w:spacing w:after="0" w:line="240" w:lineRule="auto"/>
              <w:jc w:val="center"/>
              <w:rPr>
                <w:szCs w:val="24"/>
              </w:rPr>
            </w:pPr>
            <w:r>
              <w:rPr>
                <w:szCs w:val="24"/>
              </w:rPr>
              <w:t>0.93</w:t>
            </w:r>
          </w:p>
        </w:tc>
      </w:tr>
      <w:tr w:rsidR="000F16C4" w14:paraId="50AF53D9" w14:textId="77777777" w:rsidTr="000972AF">
        <w:trPr>
          <w:jc w:val="center"/>
        </w:trPr>
        <w:tc>
          <w:tcPr>
            <w:tcW w:w="1425" w:type="pct"/>
            <w:vMerge/>
            <w:tcBorders>
              <w:left w:val="nil"/>
              <w:bottom w:val="nil"/>
              <w:right w:val="nil"/>
            </w:tcBorders>
          </w:tcPr>
          <w:p w14:paraId="1D51BA88" w14:textId="77777777" w:rsidR="000F16C4" w:rsidRDefault="000F16C4" w:rsidP="000972AF">
            <w:pPr>
              <w:widowControl w:val="0"/>
              <w:autoSpaceDE w:val="0"/>
              <w:autoSpaceDN w:val="0"/>
              <w:adjustRightInd w:val="0"/>
              <w:spacing w:after="0" w:line="240" w:lineRule="auto"/>
              <w:rPr>
                <w:szCs w:val="24"/>
              </w:rPr>
            </w:pPr>
          </w:p>
        </w:tc>
        <w:tc>
          <w:tcPr>
            <w:tcW w:w="698" w:type="pct"/>
            <w:tcBorders>
              <w:top w:val="nil"/>
              <w:left w:val="nil"/>
              <w:bottom w:val="nil"/>
              <w:right w:val="nil"/>
            </w:tcBorders>
          </w:tcPr>
          <w:p w14:paraId="636DBF02" w14:textId="77777777" w:rsidR="000F16C4" w:rsidRDefault="000F16C4" w:rsidP="000972AF">
            <w:pPr>
              <w:widowControl w:val="0"/>
              <w:autoSpaceDE w:val="0"/>
              <w:autoSpaceDN w:val="0"/>
              <w:adjustRightInd w:val="0"/>
              <w:spacing w:after="0" w:line="240" w:lineRule="auto"/>
              <w:jc w:val="center"/>
              <w:rPr>
                <w:szCs w:val="24"/>
              </w:rPr>
            </w:pPr>
            <w:r>
              <w:rPr>
                <w:szCs w:val="24"/>
              </w:rPr>
              <w:t>(0.40)</w:t>
            </w:r>
          </w:p>
        </w:tc>
        <w:tc>
          <w:tcPr>
            <w:tcW w:w="753" w:type="pct"/>
            <w:tcBorders>
              <w:top w:val="nil"/>
              <w:left w:val="nil"/>
              <w:bottom w:val="nil"/>
              <w:right w:val="nil"/>
            </w:tcBorders>
          </w:tcPr>
          <w:p w14:paraId="04459422" w14:textId="77777777" w:rsidR="000F16C4" w:rsidRDefault="000F16C4" w:rsidP="000972AF">
            <w:pPr>
              <w:widowControl w:val="0"/>
              <w:autoSpaceDE w:val="0"/>
              <w:autoSpaceDN w:val="0"/>
              <w:adjustRightInd w:val="0"/>
              <w:spacing w:after="0" w:line="240" w:lineRule="auto"/>
              <w:jc w:val="center"/>
              <w:rPr>
                <w:szCs w:val="24"/>
              </w:rPr>
            </w:pPr>
            <w:r>
              <w:rPr>
                <w:szCs w:val="24"/>
              </w:rPr>
              <w:t>(0.54)</w:t>
            </w:r>
          </w:p>
        </w:tc>
        <w:tc>
          <w:tcPr>
            <w:tcW w:w="698" w:type="pct"/>
            <w:tcBorders>
              <w:top w:val="nil"/>
              <w:left w:val="nil"/>
              <w:bottom w:val="nil"/>
              <w:right w:val="nil"/>
            </w:tcBorders>
          </w:tcPr>
          <w:p w14:paraId="7C509F1C" w14:textId="77777777" w:rsidR="000F16C4" w:rsidRDefault="000F16C4" w:rsidP="000972AF">
            <w:pPr>
              <w:widowControl w:val="0"/>
              <w:autoSpaceDE w:val="0"/>
              <w:autoSpaceDN w:val="0"/>
              <w:adjustRightInd w:val="0"/>
              <w:spacing w:after="0" w:line="240" w:lineRule="auto"/>
              <w:jc w:val="center"/>
              <w:rPr>
                <w:szCs w:val="24"/>
              </w:rPr>
            </w:pPr>
            <w:r>
              <w:rPr>
                <w:szCs w:val="24"/>
              </w:rPr>
              <w:t>(0.35)</w:t>
            </w:r>
          </w:p>
        </w:tc>
        <w:tc>
          <w:tcPr>
            <w:tcW w:w="728" w:type="pct"/>
            <w:tcBorders>
              <w:top w:val="nil"/>
              <w:left w:val="nil"/>
              <w:bottom w:val="nil"/>
              <w:right w:val="nil"/>
            </w:tcBorders>
          </w:tcPr>
          <w:p w14:paraId="3BF4EF4E" w14:textId="77777777" w:rsidR="000F16C4" w:rsidRDefault="000F16C4" w:rsidP="000972AF">
            <w:pPr>
              <w:widowControl w:val="0"/>
              <w:autoSpaceDE w:val="0"/>
              <w:autoSpaceDN w:val="0"/>
              <w:adjustRightInd w:val="0"/>
              <w:spacing w:after="0" w:line="240" w:lineRule="auto"/>
              <w:jc w:val="center"/>
              <w:rPr>
                <w:szCs w:val="24"/>
              </w:rPr>
            </w:pPr>
            <w:r>
              <w:rPr>
                <w:szCs w:val="24"/>
              </w:rPr>
              <w:t>(0.44)</w:t>
            </w:r>
          </w:p>
        </w:tc>
        <w:tc>
          <w:tcPr>
            <w:tcW w:w="697" w:type="pct"/>
            <w:tcBorders>
              <w:top w:val="nil"/>
              <w:left w:val="nil"/>
              <w:bottom w:val="nil"/>
              <w:right w:val="nil"/>
            </w:tcBorders>
          </w:tcPr>
          <w:p w14:paraId="3E8D602C" w14:textId="77777777" w:rsidR="000F16C4" w:rsidRDefault="000F16C4" w:rsidP="000972AF">
            <w:pPr>
              <w:widowControl w:val="0"/>
              <w:autoSpaceDE w:val="0"/>
              <w:autoSpaceDN w:val="0"/>
              <w:adjustRightInd w:val="0"/>
              <w:spacing w:after="0" w:line="240" w:lineRule="auto"/>
              <w:jc w:val="center"/>
              <w:rPr>
                <w:szCs w:val="24"/>
              </w:rPr>
            </w:pPr>
            <w:r>
              <w:rPr>
                <w:szCs w:val="24"/>
              </w:rPr>
              <w:t>(0.32)</w:t>
            </w:r>
          </w:p>
        </w:tc>
      </w:tr>
      <w:tr w:rsidR="000F16C4" w14:paraId="35058DD8" w14:textId="77777777" w:rsidTr="000972AF">
        <w:trPr>
          <w:jc w:val="center"/>
        </w:trPr>
        <w:tc>
          <w:tcPr>
            <w:tcW w:w="1425" w:type="pct"/>
            <w:tcBorders>
              <w:top w:val="nil"/>
              <w:left w:val="nil"/>
              <w:bottom w:val="nil"/>
              <w:right w:val="nil"/>
            </w:tcBorders>
          </w:tcPr>
          <w:p w14:paraId="713079D4" w14:textId="77777777" w:rsidR="000F16C4" w:rsidRDefault="000F16C4" w:rsidP="000972AF">
            <w:pPr>
              <w:widowControl w:val="0"/>
              <w:autoSpaceDE w:val="0"/>
              <w:autoSpaceDN w:val="0"/>
              <w:adjustRightInd w:val="0"/>
              <w:spacing w:after="0" w:line="240" w:lineRule="auto"/>
              <w:rPr>
                <w:szCs w:val="24"/>
              </w:rPr>
            </w:pPr>
            <w:r>
              <w:rPr>
                <w:szCs w:val="24"/>
              </w:rPr>
              <w:t>Industry FE</w:t>
            </w:r>
          </w:p>
        </w:tc>
        <w:tc>
          <w:tcPr>
            <w:tcW w:w="698" w:type="pct"/>
            <w:tcBorders>
              <w:top w:val="nil"/>
              <w:left w:val="nil"/>
              <w:bottom w:val="nil"/>
              <w:right w:val="nil"/>
            </w:tcBorders>
          </w:tcPr>
          <w:p w14:paraId="6BBEBD96"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c>
          <w:tcPr>
            <w:tcW w:w="753" w:type="pct"/>
            <w:tcBorders>
              <w:top w:val="nil"/>
              <w:left w:val="nil"/>
              <w:bottom w:val="nil"/>
              <w:right w:val="nil"/>
            </w:tcBorders>
          </w:tcPr>
          <w:p w14:paraId="0F7C2233"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c>
          <w:tcPr>
            <w:tcW w:w="698" w:type="pct"/>
            <w:tcBorders>
              <w:top w:val="nil"/>
              <w:left w:val="nil"/>
              <w:bottom w:val="nil"/>
              <w:right w:val="nil"/>
            </w:tcBorders>
          </w:tcPr>
          <w:p w14:paraId="2838B800"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c>
          <w:tcPr>
            <w:tcW w:w="728" w:type="pct"/>
            <w:tcBorders>
              <w:top w:val="nil"/>
              <w:left w:val="nil"/>
              <w:bottom w:val="nil"/>
              <w:right w:val="nil"/>
            </w:tcBorders>
          </w:tcPr>
          <w:p w14:paraId="22F797B1"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c>
          <w:tcPr>
            <w:tcW w:w="697" w:type="pct"/>
            <w:tcBorders>
              <w:top w:val="nil"/>
              <w:left w:val="nil"/>
              <w:bottom w:val="nil"/>
              <w:right w:val="nil"/>
            </w:tcBorders>
          </w:tcPr>
          <w:p w14:paraId="0F8323EA"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r>
      <w:tr w:rsidR="000F16C4" w14:paraId="547F10BD" w14:textId="77777777" w:rsidTr="000972AF">
        <w:trPr>
          <w:jc w:val="center"/>
        </w:trPr>
        <w:tc>
          <w:tcPr>
            <w:tcW w:w="1425" w:type="pct"/>
            <w:tcBorders>
              <w:top w:val="nil"/>
              <w:left w:val="nil"/>
              <w:bottom w:val="nil"/>
              <w:right w:val="nil"/>
            </w:tcBorders>
          </w:tcPr>
          <w:p w14:paraId="311F5609" w14:textId="77777777" w:rsidR="000F16C4" w:rsidRDefault="000F16C4" w:rsidP="000972AF">
            <w:pPr>
              <w:widowControl w:val="0"/>
              <w:autoSpaceDE w:val="0"/>
              <w:autoSpaceDN w:val="0"/>
              <w:adjustRightInd w:val="0"/>
              <w:spacing w:after="0" w:line="240" w:lineRule="auto"/>
              <w:rPr>
                <w:szCs w:val="24"/>
              </w:rPr>
            </w:pPr>
            <w:r>
              <w:rPr>
                <w:szCs w:val="24"/>
              </w:rPr>
              <w:t>Time FE</w:t>
            </w:r>
          </w:p>
        </w:tc>
        <w:tc>
          <w:tcPr>
            <w:tcW w:w="698" w:type="pct"/>
            <w:tcBorders>
              <w:top w:val="nil"/>
              <w:left w:val="nil"/>
              <w:bottom w:val="nil"/>
              <w:right w:val="nil"/>
            </w:tcBorders>
          </w:tcPr>
          <w:p w14:paraId="1A346473"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c>
          <w:tcPr>
            <w:tcW w:w="753" w:type="pct"/>
            <w:tcBorders>
              <w:top w:val="nil"/>
              <w:left w:val="nil"/>
              <w:bottom w:val="nil"/>
              <w:right w:val="nil"/>
            </w:tcBorders>
          </w:tcPr>
          <w:p w14:paraId="66FE46B3"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c>
          <w:tcPr>
            <w:tcW w:w="698" w:type="pct"/>
            <w:tcBorders>
              <w:top w:val="nil"/>
              <w:left w:val="nil"/>
              <w:bottom w:val="nil"/>
              <w:right w:val="nil"/>
            </w:tcBorders>
          </w:tcPr>
          <w:p w14:paraId="43EB2056"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c>
          <w:tcPr>
            <w:tcW w:w="728" w:type="pct"/>
            <w:tcBorders>
              <w:top w:val="nil"/>
              <w:left w:val="nil"/>
              <w:bottom w:val="nil"/>
              <w:right w:val="nil"/>
            </w:tcBorders>
          </w:tcPr>
          <w:p w14:paraId="2E445EE2"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c>
          <w:tcPr>
            <w:tcW w:w="697" w:type="pct"/>
            <w:tcBorders>
              <w:top w:val="nil"/>
              <w:left w:val="nil"/>
              <w:bottom w:val="nil"/>
              <w:right w:val="nil"/>
            </w:tcBorders>
          </w:tcPr>
          <w:p w14:paraId="0FF8BD33"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r>
      <w:tr w:rsidR="000F16C4" w14:paraId="36066B57" w14:textId="77777777" w:rsidTr="000972AF">
        <w:trPr>
          <w:jc w:val="center"/>
        </w:trPr>
        <w:tc>
          <w:tcPr>
            <w:tcW w:w="1425" w:type="pct"/>
            <w:tcBorders>
              <w:top w:val="nil"/>
              <w:left w:val="nil"/>
              <w:bottom w:val="nil"/>
              <w:right w:val="nil"/>
            </w:tcBorders>
          </w:tcPr>
          <w:p w14:paraId="29B1F9E1" w14:textId="77777777" w:rsidR="000F16C4" w:rsidRDefault="000F16C4" w:rsidP="000972AF">
            <w:pPr>
              <w:widowControl w:val="0"/>
              <w:autoSpaceDE w:val="0"/>
              <w:autoSpaceDN w:val="0"/>
              <w:adjustRightInd w:val="0"/>
              <w:spacing w:after="0" w:line="240" w:lineRule="auto"/>
              <w:rPr>
                <w:szCs w:val="24"/>
              </w:rPr>
            </w:pPr>
          </w:p>
        </w:tc>
        <w:tc>
          <w:tcPr>
            <w:tcW w:w="698" w:type="pct"/>
            <w:tcBorders>
              <w:top w:val="nil"/>
              <w:left w:val="nil"/>
              <w:bottom w:val="nil"/>
              <w:right w:val="nil"/>
            </w:tcBorders>
          </w:tcPr>
          <w:p w14:paraId="2BCBF0B3" w14:textId="77777777" w:rsidR="000F16C4" w:rsidRDefault="000F16C4" w:rsidP="000972AF">
            <w:pPr>
              <w:widowControl w:val="0"/>
              <w:autoSpaceDE w:val="0"/>
              <w:autoSpaceDN w:val="0"/>
              <w:adjustRightInd w:val="0"/>
              <w:spacing w:after="0" w:line="240" w:lineRule="auto"/>
              <w:jc w:val="center"/>
              <w:rPr>
                <w:szCs w:val="24"/>
              </w:rPr>
            </w:pPr>
          </w:p>
        </w:tc>
        <w:tc>
          <w:tcPr>
            <w:tcW w:w="753" w:type="pct"/>
            <w:tcBorders>
              <w:top w:val="nil"/>
              <w:left w:val="nil"/>
              <w:bottom w:val="nil"/>
              <w:right w:val="nil"/>
            </w:tcBorders>
          </w:tcPr>
          <w:p w14:paraId="49DDD333" w14:textId="77777777" w:rsidR="000F16C4" w:rsidRDefault="000F16C4" w:rsidP="000972AF">
            <w:pPr>
              <w:widowControl w:val="0"/>
              <w:autoSpaceDE w:val="0"/>
              <w:autoSpaceDN w:val="0"/>
              <w:adjustRightInd w:val="0"/>
              <w:spacing w:after="0" w:line="240" w:lineRule="auto"/>
              <w:jc w:val="center"/>
              <w:rPr>
                <w:szCs w:val="24"/>
              </w:rPr>
            </w:pPr>
          </w:p>
        </w:tc>
        <w:tc>
          <w:tcPr>
            <w:tcW w:w="698" w:type="pct"/>
            <w:tcBorders>
              <w:top w:val="nil"/>
              <w:left w:val="nil"/>
              <w:bottom w:val="nil"/>
              <w:right w:val="nil"/>
            </w:tcBorders>
          </w:tcPr>
          <w:p w14:paraId="5DFC3300" w14:textId="77777777" w:rsidR="000F16C4" w:rsidRDefault="000F16C4" w:rsidP="000972AF">
            <w:pPr>
              <w:widowControl w:val="0"/>
              <w:autoSpaceDE w:val="0"/>
              <w:autoSpaceDN w:val="0"/>
              <w:adjustRightInd w:val="0"/>
              <w:spacing w:after="0" w:line="240" w:lineRule="auto"/>
              <w:jc w:val="center"/>
              <w:rPr>
                <w:szCs w:val="24"/>
              </w:rPr>
            </w:pPr>
          </w:p>
        </w:tc>
        <w:tc>
          <w:tcPr>
            <w:tcW w:w="728" w:type="pct"/>
            <w:tcBorders>
              <w:top w:val="nil"/>
              <w:left w:val="nil"/>
              <w:bottom w:val="nil"/>
              <w:right w:val="nil"/>
            </w:tcBorders>
          </w:tcPr>
          <w:p w14:paraId="2F3D8149" w14:textId="77777777" w:rsidR="000F16C4" w:rsidRDefault="000F16C4" w:rsidP="000972AF">
            <w:pPr>
              <w:widowControl w:val="0"/>
              <w:autoSpaceDE w:val="0"/>
              <w:autoSpaceDN w:val="0"/>
              <w:adjustRightInd w:val="0"/>
              <w:spacing w:after="0" w:line="240" w:lineRule="auto"/>
              <w:jc w:val="center"/>
              <w:rPr>
                <w:szCs w:val="24"/>
              </w:rPr>
            </w:pPr>
          </w:p>
        </w:tc>
        <w:tc>
          <w:tcPr>
            <w:tcW w:w="697" w:type="pct"/>
            <w:tcBorders>
              <w:top w:val="nil"/>
              <w:left w:val="nil"/>
              <w:bottom w:val="nil"/>
              <w:right w:val="nil"/>
            </w:tcBorders>
          </w:tcPr>
          <w:p w14:paraId="659591C7" w14:textId="77777777" w:rsidR="000F16C4" w:rsidRDefault="000F16C4" w:rsidP="000972AF">
            <w:pPr>
              <w:widowControl w:val="0"/>
              <w:autoSpaceDE w:val="0"/>
              <w:autoSpaceDN w:val="0"/>
              <w:adjustRightInd w:val="0"/>
              <w:spacing w:after="0" w:line="240" w:lineRule="auto"/>
              <w:jc w:val="center"/>
              <w:rPr>
                <w:szCs w:val="24"/>
              </w:rPr>
            </w:pPr>
          </w:p>
        </w:tc>
      </w:tr>
      <w:tr w:rsidR="000F16C4" w14:paraId="00DAFF75" w14:textId="77777777" w:rsidTr="000972AF">
        <w:trPr>
          <w:jc w:val="center"/>
        </w:trPr>
        <w:tc>
          <w:tcPr>
            <w:tcW w:w="1425" w:type="pct"/>
            <w:tcBorders>
              <w:top w:val="nil"/>
              <w:left w:val="nil"/>
              <w:bottom w:val="nil"/>
              <w:right w:val="nil"/>
            </w:tcBorders>
          </w:tcPr>
          <w:p w14:paraId="2F50BF99" w14:textId="77777777" w:rsidR="000F16C4" w:rsidRDefault="000F16C4" w:rsidP="000972AF">
            <w:pPr>
              <w:widowControl w:val="0"/>
              <w:autoSpaceDE w:val="0"/>
              <w:autoSpaceDN w:val="0"/>
              <w:adjustRightInd w:val="0"/>
              <w:spacing w:after="0" w:line="240" w:lineRule="auto"/>
              <w:rPr>
                <w:szCs w:val="24"/>
              </w:rPr>
            </w:pPr>
            <w:r>
              <w:rPr>
                <w:szCs w:val="24"/>
              </w:rPr>
              <w:t>Constant</w:t>
            </w:r>
          </w:p>
        </w:tc>
        <w:tc>
          <w:tcPr>
            <w:tcW w:w="698" w:type="pct"/>
            <w:tcBorders>
              <w:top w:val="nil"/>
              <w:left w:val="nil"/>
              <w:bottom w:val="nil"/>
              <w:right w:val="nil"/>
            </w:tcBorders>
          </w:tcPr>
          <w:p w14:paraId="47D32600" w14:textId="77777777" w:rsidR="000F16C4" w:rsidRDefault="000F16C4" w:rsidP="000972AF">
            <w:pPr>
              <w:widowControl w:val="0"/>
              <w:autoSpaceDE w:val="0"/>
              <w:autoSpaceDN w:val="0"/>
              <w:adjustRightInd w:val="0"/>
              <w:spacing w:after="0" w:line="240" w:lineRule="auto"/>
              <w:jc w:val="center"/>
              <w:rPr>
                <w:szCs w:val="24"/>
              </w:rPr>
            </w:pPr>
            <w:r>
              <w:rPr>
                <w:szCs w:val="24"/>
              </w:rPr>
              <w:t>0.08***</w:t>
            </w:r>
          </w:p>
        </w:tc>
        <w:tc>
          <w:tcPr>
            <w:tcW w:w="753" w:type="pct"/>
            <w:tcBorders>
              <w:top w:val="nil"/>
              <w:left w:val="nil"/>
              <w:bottom w:val="nil"/>
              <w:right w:val="nil"/>
            </w:tcBorders>
          </w:tcPr>
          <w:p w14:paraId="0A65AA8A" w14:textId="77777777" w:rsidR="000F16C4" w:rsidRDefault="000F16C4" w:rsidP="000972AF">
            <w:pPr>
              <w:widowControl w:val="0"/>
              <w:autoSpaceDE w:val="0"/>
              <w:autoSpaceDN w:val="0"/>
              <w:adjustRightInd w:val="0"/>
              <w:spacing w:after="0" w:line="240" w:lineRule="auto"/>
              <w:jc w:val="center"/>
              <w:rPr>
                <w:szCs w:val="24"/>
              </w:rPr>
            </w:pPr>
            <w:r>
              <w:rPr>
                <w:szCs w:val="24"/>
              </w:rPr>
              <w:t>0.05***</w:t>
            </w:r>
          </w:p>
        </w:tc>
        <w:tc>
          <w:tcPr>
            <w:tcW w:w="698" w:type="pct"/>
            <w:tcBorders>
              <w:top w:val="nil"/>
              <w:left w:val="nil"/>
              <w:bottom w:val="nil"/>
              <w:right w:val="nil"/>
            </w:tcBorders>
          </w:tcPr>
          <w:p w14:paraId="794C301E" w14:textId="77777777" w:rsidR="000F16C4" w:rsidRDefault="000F16C4" w:rsidP="000972AF">
            <w:pPr>
              <w:widowControl w:val="0"/>
              <w:autoSpaceDE w:val="0"/>
              <w:autoSpaceDN w:val="0"/>
              <w:adjustRightInd w:val="0"/>
              <w:spacing w:after="0" w:line="240" w:lineRule="auto"/>
              <w:jc w:val="center"/>
              <w:rPr>
                <w:szCs w:val="24"/>
              </w:rPr>
            </w:pPr>
            <w:r>
              <w:rPr>
                <w:szCs w:val="24"/>
              </w:rPr>
              <w:t>0.16***</w:t>
            </w:r>
          </w:p>
        </w:tc>
        <w:tc>
          <w:tcPr>
            <w:tcW w:w="728" w:type="pct"/>
            <w:tcBorders>
              <w:top w:val="nil"/>
              <w:left w:val="nil"/>
              <w:bottom w:val="nil"/>
              <w:right w:val="nil"/>
            </w:tcBorders>
          </w:tcPr>
          <w:p w14:paraId="7ADEF3BE" w14:textId="77777777" w:rsidR="000F16C4" w:rsidRDefault="000F16C4" w:rsidP="000972AF">
            <w:pPr>
              <w:widowControl w:val="0"/>
              <w:autoSpaceDE w:val="0"/>
              <w:autoSpaceDN w:val="0"/>
              <w:adjustRightInd w:val="0"/>
              <w:spacing w:after="0" w:line="240" w:lineRule="auto"/>
              <w:jc w:val="center"/>
              <w:rPr>
                <w:szCs w:val="24"/>
              </w:rPr>
            </w:pPr>
            <w:r>
              <w:rPr>
                <w:szCs w:val="24"/>
              </w:rPr>
              <w:t>0.08***</w:t>
            </w:r>
          </w:p>
        </w:tc>
        <w:tc>
          <w:tcPr>
            <w:tcW w:w="697" w:type="pct"/>
            <w:tcBorders>
              <w:top w:val="nil"/>
              <w:left w:val="nil"/>
              <w:bottom w:val="nil"/>
              <w:right w:val="nil"/>
            </w:tcBorders>
          </w:tcPr>
          <w:p w14:paraId="5639C22C" w14:textId="77777777" w:rsidR="000F16C4" w:rsidRDefault="000F16C4" w:rsidP="000972AF">
            <w:pPr>
              <w:widowControl w:val="0"/>
              <w:autoSpaceDE w:val="0"/>
              <w:autoSpaceDN w:val="0"/>
              <w:adjustRightInd w:val="0"/>
              <w:spacing w:after="0" w:line="240" w:lineRule="auto"/>
              <w:jc w:val="center"/>
              <w:rPr>
                <w:szCs w:val="24"/>
              </w:rPr>
            </w:pPr>
            <w:r>
              <w:rPr>
                <w:szCs w:val="24"/>
              </w:rPr>
              <w:t>0.10***</w:t>
            </w:r>
          </w:p>
        </w:tc>
      </w:tr>
      <w:tr w:rsidR="000F16C4" w14:paraId="049902C4" w14:textId="77777777" w:rsidTr="000972AF">
        <w:trPr>
          <w:jc w:val="center"/>
        </w:trPr>
        <w:tc>
          <w:tcPr>
            <w:tcW w:w="1425" w:type="pct"/>
            <w:tcBorders>
              <w:top w:val="nil"/>
              <w:left w:val="nil"/>
              <w:bottom w:val="nil"/>
              <w:right w:val="nil"/>
            </w:tcBorders>
          </w:tcPr>
          <w:p w14:paraId="6C86ED70" w14:textId="77777777" w:rsidR="000F16C4" w:rsidRDefault="000F16C4" w:rsidP="000972AF">
            <w:pPr>
              <w:widowControl w:val="0"/>
              <w:autoSpaceDE w:val="0"/>
              <w:autoSpaceDN w:val="0"/>
              <w:adjustRightInd w:val="0"/>
              <w:spacing w:after="0" w:line="240" w:lineRule="auto"/>
              <w:rPr>
                <w:szCs w:val="24"/>
              </w:rPr>
            </w:pPr>
          </w:p>
        </w:tc>
        <w:tc>
          <w:tcPr>
            <w:tcW w:w="698" w:type="pct"/>
            <w:tcBorders>
              <w:top w:val="nil"/>
              <w:left w:val="nil"/>
              <w:bottom w:val="nil"/>
              <w:right w:val="nil"/>
            </w:tcBorders>
          </w:tcPr>
          <w:p w14:paraId="0F4FDBE6"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753" w:type="pct"/>
            <w:tcBorders>
              <w:top w:val="nil"/>
              <w:left w:val="nil"/>
              <w:bottom w:val="nil"/>
              <w:right w:val="nil"/>
            </w:tcBorders>
          </w:tcPr>
          <w:p w14:paraId="05B3CF77" w14:textId="77777777" w:rsidR="000F16C4" w:rsidRDefault="000F16C4" w:rsidP="000972AF">
            <w:pPr>
              <w:widowControl w:val="0"/>
              <w:autoSpaceDE w:val="0"/>
              <w:autoSpaceDN w:val="0"/>
              <w:adjustRightInd w:val="0"/>
              <w:spacing w:after="0" w:line="240" w:lineRule="auto"/>
              <w:jc w:val="center"/>
              <w:rPr>
                <w:szCs w:val="24"/>
              </w:rPr>
            </w:pPr>
            <w:r>
              <w:rPr>
                <w:szCs w:val="24"/>
              </w:rPr>
              <w:t>(0.02)</w:t>
            </w:r>
          </w:p>
        </w:tc>
        <w:tc>
          <w:tcPr>
            <w:tcW w:w="698" w:type="pct"/>
            <w:tcBorders>
              <w:top w:val="nil"/>
              <w:left w:val="nil"/>
              <w:bottom w:val="nil"/>
              <w:right w:val="nil"/>
            </w:tcBorders>
          </w:tcPr>
          <w:p w14:paraId="5E2AB197" w14:textId="77777777" w:rsidR="000F16C4" w:rsidRDefault="000F16C4" w:rsidP="000972AF">
            <w:pPr>
              <w:widowControl w:val="0"/>
              <w:autoSpaceDE w:val="0"/>
              <w:autoSpaceDN w:val="0"/>
              <w:adjustRightInd w:val="0"/>
              <w:spacing w:after="0" w:line="240" w:lineRule="auto"/>
              <w:jc w:val="center"/>
              <w:rPr>
                <w:szCs w:val="24"/>
              </w:rPr>
            </w:pPr>
            <w:r>
              <w:rPr>
                <w:szCs w:val="24"/>
              </w:rPr>
              <w:t>(0.05)</w:t>
            </w:r>
          </w:p>
        </w:tc>
        <w:tc>
          <w:tcPr>
            <w:tcW w:w="728" w:type="pct"/>
            <w:tcBorders>
              <w:top w:val="nil"/>
              <w:left w:val="nil"/>
              <w:bottom w:val="nil"/>
              <w:right w:val="nil"/>
            </w:tcBorders>
          </w:tcPr>
          <w:p w14:paraId="26EBD1E3"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697" w:type="pct"/>
            <w:tcBorders>
              <w:top w:val="nil"/>
              <w:left w:val="nil"/>
              <w:bottom w:val="nil"/>
              <w:right w:val="nil"/>
            </w:tcBorders>
          </w:tcPr>
          <w:p w14:paraId="3FDFB7BF" w14:textId="77777777" w:rsidR="000F16C4" w:rsidRDefault="000F16C4" w:rsidP="000972AF">
            <w:pPr>
              <w:widowControl w:val="0"/>
              <w:autoSpaceDE w:val="0"/>
              <w:autoSpaceDN w:val="0"/>
              <w:adjustRightInd w:val="0"/>
              <w:spacing w:after="0" w:line="240" w:lineRule="auto"/>
              <w:jc w:val="center"/>
              <w:rPr>
                <w:szCs w:val="24"/>
              </w:rPr>
            </w:pPr>
            <w:r>
              <w:rPr>
                <w:szCs w:val="24"/>
              </w:rPr>
              <w:t>(0.04)</w:t>
            </w:r>
          </w:p>
        </w:tc>
      </w:tr>
      <w:tr w:rsidR="000F16C4" w14:paraId="19E8D28C" w14:textId="77777777" w:rsidTr="000972AF">
        <w:trPr>
          <w:jc w:val="center"/>
        </w:trPr>
        <w:tc>
          <w:tcPr>
            <w:tcW w:w="1425" w:type="pct"/>
            <w:tcBorders>
              <w:top w:val="nil"/>
              <w:left w:val="nil"/>
              <w:bottom w:val="nil"/>
              <w:right w:val="nil"/>
            </w:tcBorders>
          </w:tcPr>
          <w:p w14:paraId="7D0BCDA6" w14:textId="77777777" w:rsidR="000F16C4" w:rsidRDefault="000F16C4" w:rsidP="000972AF">
            <w:pPr>
              <w:widowControl w:val="0"/>
              <w:autoSpaceDE w:val="0"/>
              <w:autoSpaceDN w:val="0"/>
              <w:adjustRightInd w:val="0"/>
              <w:spacing w:after="0" w:line="240" w:lineRule="auto"/>
              <w:rPr>
                <w:szCs w:val="24"/>
              </w:rPr>
            </w:pPr>
          </w:p>
        </w:tc>
        <w:tc>
          <w:tcPr>
            <w:tcW w:w="698" w:type="pct"/>
            <w:tcBorders>
              <w:top w:val="nil"/>
              <w:left w:val="nil"/>
              <w:bottom w:val="nil"/>
              <w:right w:val="nil"/>
            </w:tcBorders>
          </w:tcPr>
          <w:p w14:paraId="48DD5F34" w14:textId="77777777" w:rsidR="000F16C4" w:rsidRDefault="000F16C4" w:rsidP="000972AF">
            <w:pPr>
              <w:widowControl w:val="0"/>
              <w:autoSpaceDE w:val="0"/>
              <w:autoSpaceDN w:val="0"/>
              <w:adjustRightInd w:val="0"/>
              <w:spacing w:after="0" w:line="240" w:lineRule="auto"/>
              <w:jc w:val="center"/>
              <w:rPr>
                <w:szCs w:val="24"/>
              </w:rPr>
            </w:pPr>
          </w:p>
        </w:tc>
        <w:tc>
          <w:tcPr>
            <w:tcW w:w="753" w:type="pct"/>
            <w:tcBorders>
              <w:top w:val="nil"/>
              <w:left w:val="nil"/>
              <w:bottom w:val="nil"/>
              <w:right w:val="nil"/>
            </w:tcBorders>
          </w:tcPr>
          <w:p w14:paraId="6F9A1824" w14:textId="77777777" w:rsidR="000F16C4" w:rsidRDefault="000F16C4" w:rsidP="000972AF">
            <w:pPr>
              <w:widowControl w:val="0"/>
              <w:autoSpaceDE w:val="0"/>
              <w:autoSpaceDN w:val="0"/>
              <w:adjustRightInd w:val="0"/>
              <w:spacing w:after="0" w:line="240" w:lineRule="auto"/>
              <w:jc w:val="center"/>
              <w:rPr>
                <w:szCs w:val="24"/>
              </w:rPr>
            </w:pPr>
          </w:p>
        </w:tc>
        <w:tc>
          <w:tcPr>
            <w:tcW w:w="698" w:type="pct"/>
            <w:tcBorders>
              <w:top w:val="nil"/>
              <w:left w:val="nil"/>
              <w:bottom w:val="nil"/>
              <w:right w:val="nil"/>
            </w:tcBorders>
          </w:tcPr>
          <w:p w14:paraId="059D1D82" w14:textId="77777777" w:rsidR="000F16C4" w:rsidRDefault="000F16C4" w:rsidP="000972AF">
            <w:pPr>
              <w:widowControl w:val="0"/>
              <w:autoSpaceDE w:val="0"/>
              <w:autoSpaceDN w:val="0"/>
              <w:adjustRightInd w:val="0"/>
              <w:spacing w:after="0" w:line="240" w:lineRule="auto"/>
              <w:jc w:val="center"/>
              <w:rPr>
                <w:szCs w:val="24"/>
              </w:rPr>
            </w:pPr>
          </w:p>
        </w:tc>
        <w:tc>
          <w:tcPr>
            <w:tcW w:w="728" w:type="pct"/>
            <w:tcBorders>
              <w:top w:val="nil"/>
              <w:left w:val="nil"/>
              <w:bottom w:val="nil"/>
              <w:right w:val="nil"/>
            </w:tcBorders>
          </w:tcPr>
          <w:p w14:paraId="7781C496" w14:textId="77777777" w:rsidR="000F16C4" w:rsidRDefault="000F16C4" w:rsidP="000972AF">
            <w:pPr>
              <w:widowControl w:val="0"/>
              <w:autoSpaceDE w:val="0"/>
              <w:autoSpaceDN w:val="0"/>
              <w:adjustRightInd w:val="0"/>
              <w:spacing w:after="0" w:line="240" w:lineRule="auto"/>
              <w:jc w:val="center"/>
              <w:rPr>
                <w:szCs w:val="24"/>
              </w:rPr>
            </w:pPr>
          </w:p>
        </w:tc>
        <w:tc>
          <w:tcPr>
            <w:tcW w:w="697" w:type="pct"/>
            <w:tcBorders>
              <w:top w:val="nil"/>
              <w:left w:val="nil"/>
              <w:bottom w:val="nil"/>
              <w:right w:val="nil"/>
            </w:tcBorders>
          </w:tcPr>
          <w:p w14:paraId="485FAFD1" w14:textId="77777777" w:rsidR="000F16C4" w:rsidRDefault="000F16C4" w:rsidP="000972AF">
            <w:pPr>
              <w:widowControl w:val="0"/>
              <w:autoSpaceDE w:val="0"/>
              <w:autoSpaceDN w:val="0"/>
              <w:adjustRightInd w:val="0"/>
              <w:spacing w:after="0" w:line="240" w:lineRule="auto"/>
              <w:jc w:val="center"/>
              <w:rPr>
                <w:szCs w:val="24"/>
              </w:rPr>
            </w:pPr>
          </w:p>
        </w:tc>
      </w:tr>
      <w:tr w:rsidR="000F16C4" w14:paraId="69570D12" w14:textId="77777777" w:rsidTr="000972AF">
        <w:trPr>
          <w:jc w:val="center"/>
        </w:trPr>
        <w:tc>
          <w:tcPr>
            <w:tcW w:w="1425" w:type="pct"/>
            <w:tcBorders>
              <w:top w:val="nil"/>
              <w:left w:val="nil"/>
              <w:bottom w:val="nil"/>
              <w:right w:val="nil"/>
            </w:tcBorders>
          </w:tcPr>
          <w:p w14:paraId="13E214BC" w14:textId="77777777" w:rsidR="000F16C4" w:rsidRDefault="000F16C4" w:rsidP="000972AF">
            <w:pPr>
              <w:widowControl w:val="0"/>
              <w:autoSpaceDE w:val="0"/>
              <w:autoSpaceDN w:val="0"/>
              <w:adjustRightInd w:val="0"/>
              <w:spacing w:after="0" w:line="240" w:lineRule="auto"/>
              <w:rPr>
                <w:szCs w:val="24"/>
              </w:rPr>
            </w:pPr>
            <w:r>
              <w:rPr>
                <w:szCs w:val="24"/>
              </w:rPr>
              <w:t>N</w:t>
            </w:r>
          </w:p>
        </w:tc>
        <w:tc>
          <w:tcPr>
            <w:tcW w:w="698" w:type="pct"/>
            <w:tcBorders>
              <w:top w:val="nil"/>
              <w:left w:val="nil"/>
              <w:bottom w:val="nil"/>
              <w:right w:val="nil"/>
            </w:tcBorders>
          </w:tcPr>
          <w:p w14:paraId="63423BE6" w14:textId="77777777" w:rsidR="000F16C4" w:rsidRDefault="000F16C4" w:rsidP="000972AF">
            <w:pPr>
              <w:widowControl w:val="0"/>
              <w:autoSpaceDE w:val="0"/>
              <w:autoSpaceDN w:val="0"/>
              <w:adjustRightInd w:val="0"/>
              <w:spacing w:after="0" w:line="240" w:lineRule="auto"/>
              <w:jc w:val="center"/>
              <w:rPr>
                <w:szCs w:val="24"/>
              </w:rPr>
            </w:pPr>
            <w:r>
              <w:rPr>
                <w:szCs w:val="24"/>
              </w:rPr>
              <w:t>3,842</w:t>
            </w:r>
          </w:p>
        </w:tc>
        <w:tc>
          <w:tcPr>
            <w:tcW w:w="753" w:type="pct"/>
            <w:tcBorders>
              <w:top w:val="nil"/>
              <w:left w:val="nil"/>
              <w:bottom w:val="nil"/>
              <w:right w:val="nil"/>
            </w:tcBorders>
          </w:tcPr>
          <w:p w14:paraId="7F00CAF4" w14:textId="77777777" w:rsidR="000F16C4" w:rsidRDefault="000F16C4" w:rsidP="000972AF">
            <w:pPr>
              <w:widowControl w:val="0"/>
              <w:autoSpaceDE w:val="0"/>
              <w:autoSpaceDN w:val="0"/>
              <w:adjustRightInd w:val="0"/>
              <w:spacing w:after="0" w:line="240" w:lineRule="auto"/>
              <w:jc w:val="center"/>
              <w:rPr>
                <w:szCs w:val="24"/>
              </w:rPr>
            </w:pPr>
            <w:r>
              <w:rPr>
                <w:szCs w:val="24"/>
              </w:rPr>
              <w:t>3,834</w:t>
            </w:r>
          </w:p>
        </w:tc>
        <w:tc>
          <w:tcPr>
            <w:tcW w:w="698" w:type="pct"/>
            <w:tcBorders>
              <w:top w:val="nil"/>
              <w:left w:val="nil"/>
              <w:bottom w:val="nil"/>
              <w:right w:val="nil"/>
            </w:tcBorders>
          </w:tcPr>
          <w:p w14:paraId="5C770220" w14:textId="77777777" w:rsidR="000F16C4" w:rsidRDefault="000F16C4" w:rsidP="000972AF">
            <w:pPr>
              <w:widowControl w:val="0"/>
              <w:autoSpaceDE w:val="0"/>
              <w:autoSpaceDN w:val="0"/>
              <w:adjustRightInd w:val="0"/>
              <w:spacing w:after="0" w:line="240" w:lineRule="auto"/>
              <w:jc w:val="center"/>
              <w:rPr>
                <w:szCs w:val="24"/>
              </w:rPr>
            </w:pPr>
            <w:r>
              <w:rPr>
                <w:szCs w:val="24"/>
              </w:rPr>
              <w:t>3,839</w:t>
            </w:r>
          </w:p>
        </w:tc>
        <w:tc>
          <w:tcPr>
            <w:tcW w:w="728" w:type="pct"/>
            <w:tcBorders>
              <w:top w:val="nil"/>
              <w:left w:val="nil"/>
              <w:bottom w:val="nil"/>
              <w:right w:val="nil"/>
            </w:tcBorders>
          </w:tcPr>
          <w:p w14:paraId="5C997FD5" w14:textId="77777777" w:rsidR="000F16C4" w:rsidRDefault="000F16C4" w:rsidP="000972AF">
            <w:pPr>
              <w:widowControl w:val="0"/>
              <w:autoSpaceDE w:val="0"/>
              <w:autoSpaceDN w:val="0"/>
              <w:adjustRightInd w:val="0"/>
              <w:spacing w:after="0" w:line="240" w:lineRule="auto"/>
              <w:jc w:val="center"/>
              <w:rPr>
                <w:szCs w:val="24"/>
              </w:rPr>
            </w:pPr>
            <w:r>
              <w:rPr>
                <w:szCs w:val="24"/>
              </w:rPr>
              <w:t>3,084</w:t>
            </w:r>
          </w:p>
        </w:tc>
        <w:tc>
          <w:tcPr>
            <w:tcW w:w="697" w:type="pct"/>
            <w:tcBorders>
              <w:top w:val="nil"/>
              <w:left w:val="nil"/>
              <w:bottom w:val="nil"/>
              <w:right w:val="nil"/>
            </w:tcBorders>
          </w:tcPr>
          <w:p w14:paraId="07C9F20A" w14:textId="77777777" w:rsidR="000F16C4" w:rsidRDefault="000F16C4" w:rsidP="000972AF">
            <w:pPr>
              <w:widowControl w:val="0"/>
              <w:autoSpaceDE w:val="0"/>
              <w:autoSpaceDN w:val="0"/>
              <w:adjustRightInd w:val="0"/>
              <w:spacing w:after="0" w:line="240" w:lineRule="auto"/>
              <w:jc w:val="center"/>
              <w:rPr>
                <w:szCs w:val="24"/>
              </w:rPr>
            </w:pPr>
            <w:r>
              <w:rPr>
                <w:szCs w:val="24"/>
              </w:rPr>
              <w:t>3,506</w:t>
            </w:r>
          </w:p>
        </w:tc>
      </w:tr>
      <w:tr w:rsidR="000F16C4" w14:paraId="1FD89154" w14:textId="77777777" w:rsidTr="000972AF">
        <w:tblPrEx>
          <w:tblBorders>
            <w:bottom w:val="single" w:sz="6" w:space="0" w:color="auto"/>
          </w:tblBorders>
        </w:tblPrEx>
        <w:trPr>
          <w:jc w:val="center"/>
        </w:trPr>
        <w:tc>
          <w:tcPr>
            <w:tcW w:w="1425" w:type="pct"/>
            <w:tcBorders>
              <w:top w:val="nil"/>
              <w:left w:val="nil"/>
              <w:bottom w:val="single" w:sz="6" w:space="0" w:color="auto"/>
              <w:right w:val="nil"/>
            </w:tcBorders>
          </w:tcPr>
          <w:p w14:paraId="4B9D6885" w14:textId="77777777" w:rsidR="000F16C4" w:rsidRDefault="000F16C4" w:rsidP="000972AF">
            <w:pPr>
              <w:widowControl w:val="0"/>
              <w:autoSpaceDE w:val="0"/>
              <w:autoSpaceDN w:val="0"/>
              <w:adjustRightInd w:val="0"/>
              <w:spacing w:after="0" w:line="240" w:lineRule="auto"/>
              <w:rPr>
                <w:szCs w:val="24"/>
              </w:rPr>
            </w:pPr>
            <w:r>
              <w:rPr>
                <w:szCs w:val="24"/>
              </w:rPr>
              <w:t>Pseudo R</w:t>
            </w:r>
            <w:r w:rsidRPr="00C861B5">
              <w:rPr>
                <w:szCs w:val="24"/>
                <w:vertAlign w:val="superscript"/>
              </w:rPr>
              <w:t>2</w:t>
            </w:r>
          </w:p>
        </w:tc>
        <w:tc>
          <w:tcPr>
            <w:tcW w:w="698" w:type="pct"/>
            <w:tcBorders>
              <w:top w:val="nil"/>
              <w:left w:val="nil"/>
              <w:bottom w:val="single" w:sz="6" w:space="0" w:color="auto"/>
              <w:right w:val="nil"/>
            </w:tcBorders>
          </w:tcPr>
          <w:p w14:paraId="70BF8F41" w14:textId="77777777" w:rsidR="000F16C4" w:rsidRDefault="000F16C4" w:rsidP="000972AF">
            <w:pPr>
              <w:widowControl w:val="0"/>
              <w:autoSpaceDE w:val="0"/>
              <w:autoSpaceDN w:val="0"/>
              <w:adjustRightInd w:val="0"/>
              <w:spacing w:after="0" w:line="240" w:lineRule="auto"/>
              <w:jc w:val="center"/>
              <w:rPr>
                <w:szCs w:val="24"/>
              </w:rPr>
            </w:pPr>
            <w:r>
              <w:rPr>
                <w:szCs w:val="24"/>
              </w:rPr>
              <w:t>0.23</w:t>
            </w:r>
          </w:p>
        </w:tc>
        <w:tc>
          <w:tcPr>
            <w:tcW w:w="753" w:type="pct"/>
            <w:tcBorders>
              <w:top w:val="nil"/>
              <w:left w:val="nil"/>
              <w:bottom w:val="single" w:sz="6" w:space="0" w:color="auto"/>
              <w:right w:val="nil"/>
            </w:tcBorders>
          </w:tcPr>
          <w:p w14:paraId="7FE7A1C0" w14:textId="77777777" w:rsidR="000F16C4" w:rsidRDefault="000F16C4" w:rsidP="000972AF">
            <w:pPr>
              <w:widowControl w:val="0"/>
              <w:autoSpaceDE w:val="0"/>
              <w:autoSpaceDN w:val="0"/>
              <w:adjustRightInd w:val="0"/>
              <w:spacing w:after="0" w:line="240" w:lineRule="auto"/>
              <w:jc w:val="center"/>
              <w:rPr>
                <w:szCs w:val="24"/>
              </w:rPr>
            </w:pPr>
            <w:r>
              <w:rPr>
                <w:szCs w:val="24"/>
              </w:rPr>
              <w:t>0.21</w:t>
            </w:r>
          </w:p>
        </w:tc>
        <w:tc>
          <w:tcPr>
            <w:tcW w:w="698" w:type="pct"/>
            <w:tcBorders>
              <w:top w:val="nil"/>
              <w:left w:val="nil"/>
              <w:bottom w:val="single" w:sz="6" w:space="0" w:color="auto"/>
              <w:right w:val="nil"/>
            </w:tcBorders>
          </w:tcPr>
          <w:p w14:paraId="74354DBD" w14:textId="77777777" w:rsidR="000F16C4" w:rsidRDefault="000F16C4" w:rsidP="000972AF">
            <w:pPr>
              <w:widowControl w:val="0"/>
              <w:autoSpaceDE w:val="0"/>
              <w:autoSpaceDN w:val="0"/>
              <w:adjustRightInd w:val="0"/>
              <w:spacing w:after="0" w:line="240" w:lineRule="auto"/>
              <w:jc w:val="center"/>
              <w:rPr>
                <w:szCs w:val="24"/>
              </w:rPr>
            </w:pPr>
            <w:r>
              <w:rPr>
                <w:szCs w:val="24"/>
              </w:rPr>
              <w:t>0.10</w:t>
            </w:r>
          </w:p>
        </w:tc>
        <w:tc>
          <w:tcPr>
            <w:tcW w:w="728" w:type="pct"/>
            <w:tcBorders>
              <w:top w:val="nil"/>
              <w:left w:val="nil"/>
              <w:bottom w:val="single" w:sz="6" w:space="0" w:color="auto"/>
              <w:right w:val="nil"/>
            </w:tcBorders>
          </w:tcPr>
          <w:p w14:paraId="3BF449C4" w14:textId="77777777" w:rsidR="000F16C4" w:rsidRDefault="000F16C4" w:rsidP="000972AF">
            <w:pPr>
              <w:widowControl w:val="0"/>
              <w:autoSpaceDE w:val="0"/>
              <w:autoSpaceDN w:val="0"/>
              <w:adjustRightInd w:val="0"/>
              <w:spacing w:after="0" w:line="240" w:lineRule="auto"/>
              <w:jc w:val="center"/>
              <w:rPr>
                <w:szCs w:val="24"/>
              </w:rPr>
            </w:pPr>
            <w:r>
              <w:rPr>
                <w:szCs w:val="24"/>
              </w:rPr>
              <w:t>0.06</w:t>
            </w:r>
          </w:p>
        </w:tc>
        <w:tc>
          <w:tcPr>
            <w:tcW w:w="697" w:type="pct"/>
            <w:tcBorders>
              <w:top w:val="nil"/>
              <w:left w:val="nil"/>
              <w:bottom w:val="single" w:sz="6" w:space="0" w:color="auto"/>
              <w:right w:val="nil"/>
            </w:tcBorders>
          </w:tcPr>
          <w:p w14:paraId="25BEB2A8" w14:textId="77777777" w:rsidR="000F16C4" w:rsidRDefault="000F16C4" w:rsidP="000972AF">
            <w:pPr>
              <w:widowControl w:val="0"/>
              <w:autoSpaceDE w:val="0"/>
              <w:autoSpaceDN w:val="0"/>
              <w:adjustRightInd w:val="0"/>
              <w:spacing w:after="0" w:line="240" w:lineRule="auto"/>
              <w:jc w:val="center"/>
              <w:rPr>
                <w:szCs w:val="24"/>
              </w:rPr>
            </w:pPr>
            <w:r>
              <w:rPr>
                <w:szCs w:val="24"/>
              </w:rPr>
              <w:t>0.12</w:t>
            </w:r>
          </w:p>
        </w:tc>
      </w:tr>
    </w:tbl>
    <w:p w14:paraId="524C0321" w14:textId="77777777" w:rsidR="000F16C4" w:rsidRPr="00406E9B" w:rsidRDefault="000F16C4" w:rsidP="000F16C4">
      <w:pPr>
        <w:widowControl w:val="0"/>
        <w:autoSpaceDE w:val="0"/>
        <w:autoSpaceDN w:val="0"/>
        <w:adjustRightInd w:val="0"/>
        <w:spacing w:after="0" w:line="240" w:lineRule="auto"/>
        <w:jc w:val="center"/>
        <w:rPr>
          <w:szCs w:val="24"/>
          <w:lang w:val="en-GB"/>
        </w:rPr>
      </w:pPr>
      <w:r>
        <w:rPr>
          <w:szCs w:val="24"/>
          <w:lang w:val="en-GB"/>
        </w:rPr>
        <w:t xml:space="preserve">Odds ratios. </w:t>
      </w:r>
      <w:r w:rsidRPr="00406E9B">
        <w:rPr>
          <w:szCs w:val="24"/>
          <w:lang w:val="en-GB"/>
        </w:rPr>
        <w:t xml:space="preserve">Robust </w:t>
      </w:r>
      <w:r>
        <w:rPr>
          <w:szCs w:val="24"/>
          <w:lang w:val="en-GB"/>
        </w:rPr>
        <w:t>standard errors (clustered over firms)</w:t>
      </w:r>
      <w:r w:rsidRPr="00406E9B">
        <w:rPr>
          <w:szCs w:val="24"/>
          <w:lang w:val="en-GB"/>
        </w:rPr>
        <w:t xml:space="preserve"> in parentheses</w:t>
      </w:r>
      <w:r>
        <w:rPr>
          <w:szCs w:val="24"/>
          <w:lang w:val="en-GB"/>
        </w:rPr>
        <w:t>.</w:t>
      </w:r>
    </w:p>
    <w:p w14:paraId="4920EAFF" w14:textId="77777777" w:rsidR="000F16C4" w:rsidRPr="00406E9B" w:rsidRDefault="000F16C4" w:rsidP="000F16C4">
      <w:pPr>
        <w:widowControl w:val="0"/>
        <w:autoSpaceDE w:val="0"/>
        <w:autoSpaceDN w:val="0"/>
        <w:adjustRightInd w:val="0"/>
        <w:spacing w:after="0" w:line="240" w:lineRule="auto"/>
        <w:jc w:val="center"/>
        <w:rPr>
          <w:szCs w:val="24"/>
          <w:lang w:val="en-GB"/>
        </w:rPr>
      </w:pPr>
      <w:r>
        <w:rPr>
          <w:szCs w:val="24"/>
          <w:lang w:val="en-GB"/>
        </w:rPr>
        <w:t>*** p&lt;</w:t>
      </w:r>
      <w:r w:rsidRPr="00406E9B">
        <w:rPr>
          <w:szCs w:val="24"/>
          <w:lang w:val="en-GB"/>
        </w:rPr>
        <w:t>.001, ** p&lt;.01, * p&lt;.05, + p&lt;.10</w:t>
      </w:r>
    </w:p>
    <w:p w14:paraId="0EE40298" w14:textId="77777777" w:rsidR="000F16C4" w:rsidRDefault="000F16C4" w:rsidP="00C43B94">
      <w:pPr>
        <w:spacing w:line="480" w:lineRule="auto"/>
        <w:rPr>
          <w:lang w:val="en-GB"/>
        </w:rPr>
      </w:pPr>
    </w:p>
    <w:p w14:paraId="3F694B48" w14:textId="5DB8D7F1" w:rsidR="004B3AB5" w:rsidRPr="000050B8" w:rsidRDefault="004B3AB5" w:rsidP="00C43B94">
      <w:pPr>
        <w:spacing w:line="480" w:lineRule="auto"/>
        <w:rPr>
          <w:lang w:val="en-GB"/>
        </w:rPr>
      </w:pPr>
      <w:r w:rsidRPr="000050B8">
        <w:rPr>
          <w:lang w:val="en-GB"/>
        </w:rPr>
        <w:t xml:space="preserve">The restriction of the analysis to innovation-active firms does not change the results in any major way. For regional partners, the results are largely the same as in Table 3: a significant positive </w:t>
      </w:r>
      <w:r>
        <w:rPr>
          <w:lang w:val="en-GB"/>
        </w:rPr>
        <w:t>coefficient</w:t>
      </w:r>
      <w:r w:rsidRPr="000050B8">
        <w:rPr>
          <w:lang w:val="en-GB"/>
        </w:rPr>
        <w:t xml:space="preserve"> </w:t>
      </w:r>
      <w:r>
        <w:rPr>
          <w:lang w:val="en-GB"/>
        </w:rPr>
        <w:t>for</w:t>
      </w:r>
      <w:r w:rsidRPr="000050B8">
        <w:rPr>
          <w:lang w:val="en-GB"/>
        </w:rPr>
        <w:t xml:space="preserve"> organisational innovation and a negative </w:t>
      </w:r>
      <w:r>
        <w:rPr>
          <w:lang w:val="en-GB"/>
        </w:rPr>
        <w:t>coefficient</w:t>
      </w:r>
      <w:r w:rsidRPr="000050B8">
        <w:rPr>
          <w:lang w:val="en-GB"/>
        </w:rPr>
        <w:t xml:space="preserve"> </w:t>
      </w:r>
      <w:r>
        <w:rPr>
          <w:lang w:val="en-GB"/>
        </w:rPr>
        <w:t>for</w:t>
      </w:r>
      <w:r w:rsidRPr="000050B8">
        <w:rPr>
          <w:lang w:val="en-GB"/>
        </w:rPr>
        <w:t xml:space="preserve"> general product innovation, significant at 90 percent. For foreign partners, the results are stronger than in Table 3. The </w:t>
      </w:r>
      <w:r>
        <w:rPr>
          <w:lang w:val="en-GB"/>
        </w:rPr>
        <w:t>coefficients for</w:t>
      </w:r>
      <w:r w:rsidRPr="000050B8">
        <w:rPr>
          <w:lang w:val="en-GB"/>
        </w:rPr>
        <w:t xml:space="preserve"> new-to-market product innovation and marketing innovation </w:t>
      </w:r>
      <w:r>
        <w:rPr>
          <w:lang w:val="en-GB"/>
        </w:rPr>
        <w:t>are</w:t>
      </w:r>
      <w:r w:rsidRPr="000050B8">
        <w:rPr>
          <w:lang w:val="en-GB"/>
        </w:rPr>
        <w:t xml:space="preserve"> now significant at the 95 percent confidence level, and there is also a positive </w:t>
      </w:r>
      <w:r>
        <w:rPr>
          <w:lang w:val="en-GB"/>
        </w:rPr>
        <w:t>coefficient</w:t>
      </w:r>
      <w:r w:rsidRPr="000050B8">
        <w:rPr>
          <w:lang w:val="en-GB"/>
        </w:rPr>
        <w:t xml:space="preserve"> </w:t>
      </w:r>
      <w:r>
        <w:rPr>
          <w:lang w:val="en-GB"/>
        </w:rPr>
        <w:lastRenderedPageBreak/>
        <w:t>for</w:t>
      </w:r>
      <w:r w:rsidRPr="000050B8">
        <w:rPr>
          <w:lang w:val="en-GB"/>
        </w:rPr>
        <w:t xml:space="preserve"> process innovation</w:t>
      </w:r>
      <w:r>
        <w:rPr>
          <w:lang w:val="en-GB"/>
        </w:rPr>
        <w:t>,</w:t>
      </w:r>
      <w:r w:rsidRPr="000050B8">
        <w:rPr>
          <w:lang w:val="en-GB"/>
        </w:rPr>
        <w:t xml:space="preserve"> which is significant at 90 percent. The effects of location are stronger than in any of the preceding analyses, although still only in the area of product innovation, in general, as well as specifically for new-to-market</w:t>
      </w:r>
      <w:r>
        <w:rPr>
          <w:lang w:val="en-GB"/>
        </w:rPr>
        <w:t xml:space="preserve"> product innovation</w:t>
      </w:r>
      <w:r w:rsidRPr="000050B8">
        <w:rPr>
          <w:lang w:val="en-GB"/>
        </w:rPr>
        <w:t xml:space="preserve">. </w:t>
      </w:r>
      <w:r>
        <w:rPr>
          <w:lang w:val="en-GB"/>
        </w:rPr>
        <w:t>T</w:t>
      </w:r>
      <w:r w:rsidRPr="000050B8">
        <w:rPr>
          <w:lang w:val="en-GB"/>
        </w:rPr>
        <w:t xml:space="preserve">he dummies for big city regions and medium city regions are now significantly associated with a higher likelihood of product innovation in general and – for medium city regions – also of specifically new-to-market product innovation. Indeed, location in a medium city region now emerges with the highest </w:t>
      </w:r>
      <w:r>
        <w:rPr>
          <w:lang w:val="en-GB"/>
        </w:rPr>
        <w:t>odds ratio</w:t>
      </w:r>
      <w:r w:rsidRPr="000050B8">
        <w:rPr>
          <w:lang w:val="en-GB"/>
        </w:rPr>
        <w:t xml:space="preserve"> for all innovation outcomes, even if the differences are in most cases not statistically significant. For the control variables, the share of educated employees is not significantly associated with a higher likelihood of any kind of innovation when only innovation-active firms are considered. This factor is mainly associated with the decision to engage in innovation activities, rather than the outcome of such activities.</w:t>
      </w:r>
    </w:p>
    <w:p w14:paraId="607AF8EE" w14:textId="31C7276F" w:rsidR="004B3AB5" w:rsidRDefault="004B3AB5" w:rsidP="00C43B94">
      <w:pPr>
        <w:spacing w:line="480" w:lineRule="auto"/>
        <w:rPr>
          <w:lang w:val="en-GB"/>
        </w:rPr>
      </w:pPr>
      <w:r w:rsidRPr="000050B8">
        <w:rPr>
          <w:lang w:val="en-GB"/>
        </w:rPr>
        <w:t>Several additional robustness checks have been conducted. Due to space limitations, not all of these are reported. One set of analyses limited the sample to the 4399 single-plant firms in the data, or, in another set of analyses, to the 5453 firms where the largest plant employs at least 50 percent of the firm’s workforce. Even though this excludes many of the largest and most innovative firms, the results are broadly in line with the findings reported above, especially for the latter set of analyses. The results are also robust to the inclusion of firm age as an additional control variable. As firm age is not itself significantly associated with any of the innovation outcomes, it is not included in the analyses reported above.</w:t>
      </w:r>
      <w:r>
        <w:rPr>
          <w:lang w:val="en-GB"/>
        </w:rPr>
        <w:t xml:space="preserve"> </w:t>
      </w:r>
    </w:p>
    <w:p w14:paraId="40408A8A" w14:textId="12BE9BDF" w:rsidR="004B3AB5" w:rsidRDefault="004B3AB5" w:rsidP="00C43B94">
      <w:pPr>
        <w:spacing w:line="480" w:lineRule="auto"/>
        <w:rPr>
          <w:lang w:val="en-GB"/>
        </w:rPr>
      </w:pPr>
      <w:r>
        <w:rPr>
          <w:szCs w:val="24"/>
          <w:lang w:val="en-GB"/>
        </w:rPr>
        <w:t xml:space="preserve">A particular question concerns the role of R&amp;D, as firms’ R&amp;D expenditure is potentially endogenous: Firms that expect to succeed in their R&amp;D activities are likely to invest more. Appendix Table A.4 shows the results for Model 1 when leaving out R&amp;D investments as a control variable. In this model, </w:t>
      </w:r>
      <w:r w:rsidRPr="00EB63F1">
        <w:rPr>
          <w:b/>
          <w:szCs w:val="24"/>
          <w:lang w:val="en-GB"/>
        </w:rPr>
        <w:t>Partners</w:t>
      </w:r>
      <w:r>
        <w:rPr>
          <w:szCs w:val="24"/>
          <w:lang w:val="en-GB"/>
        </w:rPr>
        <w:t xml:space="preserve"> at all spatial scales are significantly positively related to nearly all innovation outcomes. Firm size and, in particular, education also have stronger positive coefficients. However, the effects of location in a big city region disappear </w:t>
      </w:r>
      <w:r>
        <w:rPr>
          <w:szCs w:val="24"/>
          <w:lang w:val="en-GB"/>
        </w:rPr>
        <w:lastRenderedPageBreak/>
        <w:t>(or turn negative, in the case of process innovation), while location in a medium city region has a somewhat stronger positive effect on product innovation and new-to-market innovation.</w:t>
      </w:r>
    </w:p>
    <w:p w14:paraId="0D467B60" w14:textId="17411B4F" w:rsidR="004B3AB5" w:rsidRPr="000050B8" w:rsidRDefault="004B3AB5" w:rsidP="00C047FC">
      <w:pPr>
        <w:spacing w:line="480" w:lineRule="auto"/>
        <w:rPr>
          <w:lang w:val="en-GB"/>
        </w:rPr>
      </w:pPr>
      <w:r>
        <w:rPr>
          <w:lang w:val="en-GB"/>
        </w:rPr>
        <w:t xml:space="preserve">We have also added additional regional control variables, such as total regional R&amp;D expenditure per worker, mean regional firm size, or regional population. Including these tends to reduce the effect of the </w:t>
      </w:r>
      <w:r w:rsidRPr="00EB63F1">
        <w:rPr>
          <w:b/>
          <w:lang w:val="en-GB"/>
        </w:rPr>
        <w:t>Location</w:t>
      </w:r>
      <w:r>
        <w:rPr>
          <w:lang w:val="en-GB"/>
        </w:rPr>
        <w:t xml:space="preserve"> variables, while not affecting any of the other variables in the model.</w:t>
      </w:r>
      <w:r w:rsidRPr="000050B8">
        <w:rPr>
          <w:lang w:val="en-GB"/>
        </w:rPr>
        <w:t xml:space="preserve"> </w:t>
      </w:r>
      <w:r>
        <w:rPr>
          <w:szCs w:val="24"/>
          <w:lang w:val="en-GB"/>
        </w:rPr>
        <w:t xml:space="preserve">We have also estimated the model including regional population size and population size squared instead of the dummy variables for city size. Regional population size has a positive and significant effect only on product innovation (at p&lt;0.05) and new-to-market product innovation (at p&lt;0.10), consistent with the findings reported in Table 2. The results for </w:t>
      </w:r>
      <w:r w:rsidRPr="00EB63F1">
        <w:rPr>
          <w:b/>
          <w:szCs w:val="24"/>
          <w:lang w:val="en-GB"/>
        </w:rPr>
        <w:t>Partners</w:t>
      </w:r>
      <w:r>
        <w:rPr>
          <w:i/>
          <w:szCs w:val="24"/>
          <w:lang w:val="en-GB"/>
        </w:rPr>
        <w:t xml:space="preserve"> </w:t>
      </w:r>
      <w:r>
        <w:rPr>
          <w:szCs w:val="24"/>
          <w:lang w:val="en-GB"/>
        </w:rPr>
        <w:t xml:space="preserve">and for the control variables are also consistent. </w:t>
      </w:r>
      <w:r w:rsidRPr="000050B8">
        <w:rPr>
          <w:lang w:val="en-GB"/>
        </w:rPr>
        <w:t>We have also tried dividing Oslo into a central and a suburban part, following Herstad (</w:t>
      </w:r>
      <w:r w:rsidR="00D25241" w:rsidRPr="000050B8">
        <w:rPr>
          <w:lang w:val="en-GB"/>
        </w:rPr>
        <w:t>201</w:t>
      </w:r>
      <w:r w:rsidR="00D25241">
        <w:rPr>
          <w:lang w:val="en-GB"/>
        </w:rPr>
        <w:t>8</w:t>
      </w:r>
      <w:r w:rsidRPr="000050B8">
        <w:rPr>
          <w:lang w:val="en-GB"/>
        </w:rPr>
        <w:t>), without finding significant differences between central and less central locations within Oslo.</w:t>
      </w:r>
      <w:r>
        <w:rPr>
          <w:lang w:val="en-GB"/>
        </w:rPr>
        <w:t xml:space="preserve"> </w:t>
      </w:r>
    </w:p>
    <w:p w14:paraId="61B714B1" w14:textId="36D50F57" w:rsidR="002C5E7E" w:rsidRDefault="004B3AB5" w:rsidP="00877C06">
      <w:pPr>
        <w:spacing w:line="480" w:lineRule="auto"/>
        <w:rPr>
          <w:lang w:val="en-GB"/>
        </w:rPr>
      </w:pPr>
      <w:r>
        <w:rPr>
          <w:szCs w:val="24"/>
          <w:lang w:val="en-GB"/>
        </w:rPr>
        <w:t>In an additional analysis, we have estimated the models including county fixed effects (see Appendix Table A.5 for the results pertaining to Model 1, other results available on request).</w:t>
      </w:r>
      <w:r w:rsidR="00E8487C">
        <w:rPr>
          <w:szCs w:val="24"/>
          <w:vertAlign w:val="superscript"/>
          <w:lang w:val="en-GB"/>
        </w:rPr>
        <w:t>6</w:t>
      </w:r>
      <w:r>
        <w:rPr>
          <w:szCs w:val="24"/>
          <w:lang w:val="en-GB"/>
        </w:rPr>
        <w:t xml:space="preserve"> </w:t>
      </w:r>
      <w:r w:rsidR="00C047FC">
        <w:rPr>
          <w:szCs w:val="24"/>
          <w:lang w:val="en-GB"/>
        </w:rPr>
        <w:t xml:space="preserve">In this case, all significant coefficients for location in a big city or medium city region disappear, while the results for </w:t>
      </w:r>
      <w:r w:rsidR="00C047FC" w:rsidRPr="00EB63F1">
        <w:rPr>
          <w:b/>
          <w:szCs w:val="24"/>
          <w:lang w:val="en-GB"/>
        </w:rPr>
        <w:t>Partners</w:t>
      </w:r>
      <w:r w:rsidR="00C047FC">
        <w:rPr>
          <w:szCs w:val="24"/>
          <w:lang w:val="en-GB"/>
        </w:rPr>
        <w:t xml:space="preserve"> and for the control variables are consistent with those reported in the paper. Hence, there could be other spatial county effects, besides city size, that can account for the significant coefficient observed for the location variable. However, as the county fixed effect may also pick up some of the effect of location in a larger urban area – in particular for</w:t>
      </w:r>
      <w:r w:rsidR="002C5E7E">
        <w:rPr>
          <w:szCs w:val="24"/>
          <w:lang w:val="en-GB"/>
        </w:rPr>
        <w:t xml:space="preserve"> the largest urban agglomeration in Norway,</w:t>
      </w:r>
      <w:r w:rsidR="00C047FC">
        <w:rPr>
          <w:szCs w:val="24"/>
          <w:lang w:val="en-GB"/>
        </w:rPr>
        <w:t xml:space="preserve"> the Oslo and </w:t>
      </w:r>
      <w:proofErr w:type="spellStart"/>
      <w:r w:rsidR="00C047FC">
        <w:rPr>
          <w:szCs w:val="24"/>
          <w:lang w:val="en-GB"/>
        </w:rPr>
        <w:t>Viken</w:t>
      </w:r>
      <w:proofErr w:type="spellEnd"/>
      <w:r w:rsidR="00C047FC">
        <w:rPr>
          <w:szCs w:val="24"/>
          <w:lang w:val="en-GB"/>
        </w:rPr>
        <w:t xml:space="preserve"> region – </w:t>
      </w:r>
      <w:r w:rsidR="002C5E7E">
        <w:rPr>
          <w:szCs w:val="24"/>
          <w:lang w:val="en-GB"/>
        </w:rPr>
        <w:t>the</w:t>
      </w:r>
      <w:r w:rsidR="00C047FC">
        <w:rPr>
          <w:szCs w:val="24"/>
          <w:lang w:val="en-GB"/>
        </w:rPr>
        <w:t xml:space="preserve"> prefer</w:t>
      </w:r>
      <w:r w:rsidR="002C5E7E">
        <w:rPr>
          <w:szCs w:val="24"/>
          <w:lang w:val="en-GB"/>
        </w:rPr>
        <w:t>red option remain</w:t>
      </w:r>
      <w:r w:rsidR="003A4AA9">
        <w:rPr>
          <w:szCs w:val="24"/>
          <w:lang w:val="en-GB"/>
        </w:rPr>
        <w:t>s</w:t>
      </w:r>
      <w:r w:rsidR="00C047FC">
        <w:rPr>
          <w:szCs w:val="24"/>
          <w:lang w:val="en-GB"/>
        </w:rPr>
        <w:t xml:space="preserve"> </w:t>
      </w:r>
      <w:r w:rsidR="002C5E7E">
        <w:rPr>
          <w:szCs w:val="24"/>
          <w:lang w:val="en-GB"/>
        </w:rPr>
        <w:t>the model without</w:t>
      </w:r>
      <w:r w:rsidR="00C047FC">
        <w:rPr>
          <w:szCs w:val="24"/>
          <w:lang w:val="en-GB"/>
        </w:rPr>
        <w:t xml:space="preserve"> county fixed effects. </w:t>
      </w:r>
      <w:r w:rsidR="007B65DD">
        <w:rPr>
          <w:lang w:val="en-GB"/>
        </w:rPr>
        <w:t xml:space="preserve">Finally, we have </w:t>
      </w:r>
      <w:r w:rsidR="00DA69F8">
        <w:rPr>
          <w:lang w:val="en-GB"/>
        </w:rPr>
        <w:t>run</w:t>
      </w:r>
      <w:r w:rsidR="007B65DD">
        <w:rPr>
          <w:lang w:val="en-GB"/>
        </w:rPr>
        <w:t xml:space="preserve"> the analyses using sampling weights, without any differences in the findings.</w:t>
      </w:r>
      <w:r w:rsidR="00C047FC">
        <w:rPr>
          <w:lang w:val="en-GB"/>
        </w:rPr>
        <w:t xml:space="preserve"> </w:t>
      </w:r>
    </w:p>
    <w:p w14:paraId="0FBFE09B" w14:textId="77777777" w:rsidR="002C5E7E" w:rsidRPr="000050B8" w:rsidRDefault="002C5E7E" w:rsidP="00877C06">
      <w:pPr>
        <w:spacing w:line="480" w:lineRule="auto"/>
        <w:rPr>
          <w:lang w:val="en-GB"/>
        </w:rPr>
      </w:pPr>
    </w:p>
    <w:p w14:paraId="3F70FE6E" w14:textId="37C1689C" w:rsidR="00B336F5" w:rsidRPr="000050B8" w:rsidRDefault="007F7E20" w:rsidP="00B336F5">
      <w:pPr>
        <w:keepNext/>
        <w:spacing w:line="480" w:lineRule="auto"/>
        <w:rPr>
          <w:b/>
          <w:lang w:val="en-GB"/>
        </w:rPr>
      </w:pPr>
      <w:r>
        <w:rPr>
          <w:b/>
          <w:lang w:val="en-GB"/>
        </w:rPr>
        <w:lastRenderedPageBreak/>
        <w:t xml:space="preserve">4.2 </w:t>
      </w:r>
      <w:r w:rsidR="009603EC">
        <w:rPr>
          <w:b/>
          <w:lang w:val="en-GB"/>
        </w:rPr>
        <w:t>Local collaboration in cities and rural areas</w:t>
      </w:r>
    </w:p>
    <w:p w14:paraId="1D5D962B" w14:textId="75539969" w:rsidR="00D80E63" w:rsidRPr="000050B8" w:rsidRDefault="008C2D10" w:rsidP="00C43B94">
      <w:pPr>
        <w:spacing w:after="0" w:line="480" w:lineRule="auto"/>
        <w:jc w:val="left"/>
        <w:rPr>
          <w:szCs w:val="24"/>
          <w:lang w:val="en-GB"/>
        </w:rPr>
      </w:pPr>
      <w:r w:rsidRPr="000050B8">
        <w:rPr>
          <w:szCs w:val="24"/>
          <w:lang w:val="en-GB"/>
        </w:rPr>
        <w:t xml:space="preserve">The analyses so far have </w:t>
      </w:r>
      <w:r w:rsidR="00DC7FA2">
        <w:rPr>
          <w:szCs w:val="24"/>
          <w:lang w:val="en-GB"/>
        </w:rPr>
        <w:t>examined location and collaboration separately</w:t>
      </w:r>
      <w:r w:rsidRPr="000050B8">
        <w:rPr>
          <w:szCs w:val="24"/>
          <w:lang w:val="en-GB"/>
        </w:rPr>
        <w:t xml:space="preserve">. </w:t>
      </w:r>
      <w:r w:rsidR="00DC7FA2">
        <w:rPr>
          <w:szCs w:val="24"/>
          <w:lang w:val="en-GB"/>
        </w:rPr>
        <w:t>However, we are also interested in the interaction between them, specifically in whether local collaboration is more beneficial in urban regions</w:t>
      </w:r>
      <w:r w:rsidRPr="000050B8">
        <w:rPr>
          <w:szCs w:val="24"/>
          <w:lang w:val="en-GB"/>
        </w:rPr>
        <w:t xml:space="preserve">. </w:t>
      </w:r>
      <w:r w:rsidR="00A321A5" w:rsidRPr="000050B8">
        <w:rPr>
          <w:szCs w:val="24"/>
          <w:lang w:val="en-GB"/>
        </w:rPr>
        <w:t xml:space="preserve">In order to </w:t>
      </w:r>
      <w:r w:rsidR="00DC7FA2">
        <w:rPr>
          <w:szCs w:val="24"/>
          <w:lang w:val="en-GB"/>
        </w:rPr>
        <w:t>examine this</w:t>
      </w:r>
      <w:r w:rsidR="00A321A5" w:rsidRPr="000050B8">
        <w:rPr>
          <w:szCs w:val="24"/>
          <w:lang w:val="en-GB"/>
        </w:rPr>
        <w:t xml:space="preserve">, we </w:t>
      </w:r>
      <w:r w:rsidR="001111F1" w:rsidRPr="000050B8">
        <w:rPr>
          <w:szCs w:val="24"/>
          <w:lang w:val="en-GB"/>
        </w:rPr>
        <w:t xml:space="preserve">extend the model to incorporate an interaction term between </w:t>
      </w:r>
      <w:r w:rsidR="001111F1" w:rsidRPr="000050B8">
        <w:rPr>
          <w:i/>
          <w:szCs w:val="24"/>
          <w:lang w:val="en-GB"/>
        </w:rPr>
        <w:t>Regional partners</w:t>
      </w:r>
      <w:r w:rsidR="001111F1" w:rsidRPr="000050B8">
        <w:rPr>
          <w:szCs w:val="24"/>
          <w:lang w:val="en-GB"/>
        </w:rPr>
        <w:t xml:space="preserve"> and </w:t>
      </w:r>
      <w:r w:rsidR="001111F1" w:rsidRPr="00EB63F1">
        <w:rPr>
          <w:b/>
          <w:szCs w:val="24"/>
          <w:lang w:val="en-GB"/>
        </w:rPr>
        <w:t>Location</w:t>
      </w:r>
      <w:r w:rsidR="001111F1" w:rsidRPr="000050B8">
        <w:rPr>
          <w:szCs w:val="24"/>
          <w:lang w:val="en-GB"/>
        </w:rPr>
        <w:t xml:space="preserve">. </w:t>
      </w:r>
      <w:r w:rsidR="001811CC" w:rsidRPr="000050B8">
        <w:rPr>
          <w:szCs w:val="24"/>
          <w:lang w:val="en-GB"/>
        </w:rPr>
        <w:t>Consequently, Model 3 is specified as follows:</w:t>
      </w:r>
    </w:p>
    <w:p w14:paraId="2A56AE6A" w14:textId="77777777" w:rsidR="00D80E63" w:rsidRPr="000050B8" w:rsidRDefault="00D80E63" w:rsidP="00C43B94">
      <w:pPr>
        <w:spacing w:after="0" w:line="480" w:lineRule="auto"/>
        <w:jc w:val="left"/>
        <w:rPr>
          <w:b/>
          <w:szCs w:val="24"/>
          <w:lang w:val="en-GB"/>
        </w:rPr>
      </w:pPr>
    </w:p>
    <w:p w14:paraId="5A6DD439" w14:textId="247EFA9B" w:rsidR="00D80E63" w:rsidRPr="000050B8" w:rsidRDefault="00D80E63" w:rsidP="00C43B94">
      <w:pPr>
        <w:tabs>
          <w:tab w:val="left" w:pos="8647"/>
        </w:tabs>
        <w:spacing w:line="480" w:lineRule="auto"/>
        <w:jc w:val="left"/>
        <w:rPr>
          <w:szCs w:val="24"/>
          <w:lang w:val="en-GB"/>
        </w:rPr>
      </w:pPr>
      <w:r w:rsidRPr="000050B8">
        <w:rPr>
          <w:lang w:val="en-GB"/>
        </w:rPr>
        <w:t>logit(</w:t>
      </w:r>
      <w:proofErr w:type="spellStart"/>
      <w:r w:rsidRPr="000050B8">
        <w:rPr>
          <w:lang w:val="en-GB"/>
        </w:rPr>
        <w:t>Innovation</w:t>
      </w:r>
      <w:r w:rsidRPr="000050B8">
        <w:rPr>
          <w:vertAlign w:val="subscript"/>
          <w:lang w:val="en-GB"/>
        </w:rPr>
        <w:t>i,t</w:t>
      </w:r>
      <w:proofErr w:type="spellEnd"/>
      <w:r w:rsidRPr="000050B8">
        <w:rPr>
          <w:lang w:val="en-GB"/>
        </w:rPr>
        <w:t>) = α + β</w:t>
      </w:r>
      <w:r w:rsidRPr="000050B8">
        <w:rPr>
          <w:vertAlign w:val="subscript"/>
          <w:lang w:val="en-GB"/>
        </w:rPr>
        <w:t>1</w:t>
      </w:r>
      <w:r w:rsidRPr="000050B8">
        <w:rPr>
          <w:lang w:val="en-GB"/>
        </w:rPr>
        <w:t xml:space="preserve"> Innovation</w:t>
      </w:r>
      <w:r w:rsidRPr="000050B8">
        <w:rPr>
          <w:vertAlign w:val="subscript"/>
          <w:lang w:val="en-GB"/>
        </w:rPr>
        <w:t>i,t-1</w:t>
      </w:r>
      <w:r w:rsidRPr="000050B8">
        <w:rPr>
          <w:lang w:val="en-GB"/>
        </w:rPr>
        <w:t xml:space="preserve"> + β</w:t>
      </w:r>
      <w:r w:rsidRPr="000050B8">
        <w:rPr>
          <w:vertAlign w:val="subscript"/>
          <w:lang w:val="en-GB"/>
        </w:rPr>
        <w:t>2</w:t>
      </w:r>
      <w:r w:rsidRPr="000050B8">
        <w:rPr>
          <w:lang w:val="en-GB"/>
        </w:rPr>
        <w:t xml:space="preserve"> </w:t>
      </w:r>
      <w:r w:rsidRPr="00EB63F1">
        <w:rPr>
          <w:b/>
          <w:lang w:val="en-GB"/>
        </w:rPr>
        <w:t>Partners</w:t>
      </w:r>
      <w:r w:rsidRPr="000050B8">
        <w:rPr>
          <w:vertAlign w:val="subscript"/>
          <w:lang w:val="en-GB"/>
        </w:rPr>
        <w:t>i,t-1</w:t>
      </w:r>
      <w:r w:rsidRPr="000050B8">
        <w:rPr>
          <w:lang w:val="en-GB"/>
        </w:rPr>
        <w:t xml:space="preserve"> + β</w:t>
      </w:r>
      <w:r w:rsidRPr="000050B8">
        <w:rPr>
          <w:vertAlign w:val="subscript"/>
          <w:lang w:val="en-GB"/>
        </w:rPr>
        <w:t>3</w:t>
      </w:r>
      <w:r w:rsidRPr="000050B8">
        <w:rPr>
          <w:lang w:val="en-GB"/>
        </w:rPr>
        <w:t xml:space="preserve"> </w:t>
      </w:r>
      <w:r w:rsidRPr="00EB63F1">
        <w:rPr>
          <w:b/>
          <w:lang w:val="en-GB"/>
        </w:rPr>
        <w:t>Location</w:t>
      </w:r>
      <w:r w:rsidRPr="000050B8">
        <w:rPr>
          <w:vertAlign w:val="subscript"/>
          <w:lang w:val="en-GB"/>
        </w:rPr>
        <w:t>i,t-1</w:t>
      </w:r>
      <w:r w:rsidRPr="000050B8">
        <w:rPr>
          <w:lang w:val="en-GB"/>
        </w:rPr>
        <w:t xml:space="preserve"> + β</w:t>
      </w:r>
      <w:r w:rsidRPr="000050B8">
        <w:rPr>
          <w:vertAlign w:val="subscript"/>
          <w:lang w:val="en-GB"/>
        </w:rPr>
        <w:t>4</w:t>
      </w:r>
      <w:r w:rsidRPr="000050B8">
        <w:rPr>
          <w:lang w:val="en-GB"/>
        </w:rPr>
        <w:t xml:space="preserve"> Regional partners</w:t>
      </w:r>
      <w:r w:rsidRPr="000050B8">
        <w:rPr>
          <w:vertAlign w:val="subscript"/>
          <w:lang w:val="en-GB"/>
        </w:rPr>
        <w:t>i,t-1</w:t>
      </w:r>
      <w:r w:rsidRPr="000050B8">
        <w:rPr>
          <w:lang w:val="en-GB"/>
        </w:rPr>
        <w:t xml:space="preserve"> * </w:t>
      </w:r>
      <w:r w:rsidRPr="00EB63F1">
        <w:rPr>
          <w:b/>
          <w:lang w:val="en-GB"/>
        </w:rPr>
        <w:t>Location</w:t>
      </w:r>
      <w:r w:rsidRPr="000050B8">
        <w:rPr>
          <w:vertAlign w:val="subscript"/>
          <w:lang w:val="en-GB"/>
        </w:rPr>
        <w:t>i,t-1</w:t>
      </w:r>
      <w:r w:rsidRPr="000050B8">
        <w:rPr>
          <w:lang w:val="en-GB"/>
        </w:rPr>
        <w:t xml:space="preserve"> + β</w:t>
      </w:r>
      <w:r w:rsidRPr="000050B8">
        <w:rPr>
          <w:vertAlign w:val="subscript"/>
          <w:lang w:val="en-GB"/>
        </w:rPr>
        <w:t>5</w:t>
      </w:r>
      <w:r w:rsidRPr="000050B8">
        <w:rPr>
          <w:lang w:val="en-GB"/>
        </w:rPr>
        <w:t xml:space="preserve"> </w:t>
      </w:r>
      <w:r w:rsidRPr="00EB63F1">
        <w:rPr>
          <w:b/>
          <w:lang w:val="en-GB"/>
        </w:rPr>
        <w:t>Controls</w:t>
      </w:r>
      <w:r w:rsidRPr="000050B8">
        <w:rPr>
          <w:vertAlign w:val="subscript"/>
          <w:lang w:val="en-GB"/>
        </w:rPr>
        <w:t>i,t-1</w:t>
      </w:r>
      <w:r w:rsidRPr="000050B8">
        <w:rPr>
          <w:lang w:val="en-GB"/>
        </w:rPr>
        <w:t xml:space="preserve"> + β</w:t>
      </w:r>
      <w:r w:rsidRPr="000050B8">
        <w:rPr>
          <w:vertAlign w:val="subscript"/>
          <w:lang w:val="en-GB"/>
        </w:rPr>
        <w:t>6</w:t>
      </w:r>
      <w:r w:rsidRPr="000050B8">
        <w:rPr>
          <w:lang w:val="en-GB"/>
        </w:rPr>
        <w:t xml:space="preserve"> (t-1) + </w:t>
      </w:r>
      <w:proofErr w:type="spellStart"/>
      <w:r w:rsidRPr="000050B8">
        <w:rPr>
          <w:lang w:val="en-GB"/>
        </w:rPr>
        <w:t>ε</w:t>
      </w:r>
      <w:r w:rsidRPr="000050B8">
        <w:rPr>
          <w:vertAlign w:val="subscript"/>
          <w:lang w:val="en-GB"/>
        </w:rPr>
        <w:t>it</w:t>
      </w:r>
      <w:proofErr w:type="spellEnd"/>
      <w:r w:rsidRPr="000050B8">
        <w:rPr>
          <w:vertAlign w:val="subscript"/>
          <w:lang w:val="en-GB"/>
        </w:rPr>
        <w:tab/>
      </w:r>
      <w:r w:rsidRPr="000050B8">
        <w:rPr>
          <w:szCs w:val="24"/>
          <w:lang w:val="en-GB"/>
        </w:rPr>
        <w:t>(3)</w:t>
      </w:r>
    </w:p>
    <w:p w14:paraId="5DDE3F5B" w14:textId="3BE2A808" w:rsidR="000C186E" w:rsidRPr="000050B8" w:rsidRDefault="00F500EA" w:rsidP="00C43B94">
      <w:pPr>
        <w:spacing w:after="0" w:line="480" w:lineRule="auto"/>
        <w:jc w:val="left"/>
        <w:rPr>
          <w:szCs w:val="24"/>
          <w:lang w:val="en-GB"/>
        </w:rPr>
      </w:pPr>
      <w:r w:rsidRPr="000050B8">
        <w:rPr>
          <w:szCs w:val="24"/>
          <w:lang w:val="en-GB"/>
        </w:rPr>
        <w:t xml:space="preserve">The results of this analysis </w:t>
      </w:r>
      <w:r w:rsidR="00EB228B" w:rsidRPr="000050B8">
        <w:rPr>
          <w:szCs w:val="24"/>
          <w:lang w:val="en-GB"/>
        </w:rPr>
        <w:t xml:space="preserve">are shown in Table 5. </w:t>
      </w:r>
      <w:r w:rsidR="00FF6079" w:rsidRPr="000050B8">
        <w:rPr>
          <w:szCs w:val="24"/>
          <w:lang w:val="en-GB"/>
        </w:rPr>
        <w:t>Again, we use robust standard errors</w:t>
      </w:r>
      <w:r w:rsidR="00E71BA0">
        <w:rPr>
          <w:szCs w:val="24"/>
          <w:lang w:val="en-GB"/>
        </w:rPr>
        <w:t>,</w:t>
      </w:r>
      <w:r w:rsidR="00FF6079" w:rsidRPr="000050B8">
        <w:rPr>
          <w:szCs w:val="24"/>
          <w:lang w:val="en-GB"/>
        </w:rPr>
        <w:t xml:space="preserve"> clustered over firms. Multicollinearity diagnostics show variance inflation factors around 5.5 for </w:t>
      </w:r>
      <w:r w:rsidR="00345D66" w:rsidRPr="000050B8">
        <w:rPr>
          <w:i/>
          <w:szCs w:val="24"/>
          <w:lang w:val="en-GB"/>
        </w:rPr>
        <w:t>R</w:t>
      </w:r>
      <w:r w:rsidR="00FF6079" w:rsidRPr="000050B8">
        <w:rPr>
          <w:i/>
          <w:szCs w:val="24"/>
          <w:lang w:val="en-GB"/>
        </w:rPr>
        <w:t>egional partners</w:t>
      </w:r>
      <w:r w:rsidR="00FF6079" w:rsidRPr="000050B8">
        <w:rPr>
          <w:szCs w:val="24"/>
          <w:lang w:val="en-GB"/>
        </w:rPr>
        <w:t xml:space="preserve"> in all models and well below 3 for all other variables, including </w:t>
      </w:r>
      <w:r w:rsidR="00345D66" w:rsidRPr="000050B8">
        <w:rPr>
          <w:szCs w:val="24"/>
          <w:lang w:val="en-GB"/>
        </w:rPr>
        <w:t xml:space="preserve">the interaction terms, indicating that multicollinearity </w:t>
      </w:r>
      <w:r w:rsidR="00350EC5" w:rsidRPr="000050B8">
        <w:rPr>
          <w:szCs w:val="24"/>
          <w:lang w:val="en-GB"/>
        </w:rPr>
        <w:t>is not severe</w:t>
      </w:r>
      <w:r w:rsidR="00345D66" w:rsidRPr="000050B8">
        <w:rPr>
          <w:szCs w:val="24"/>
          <w:lang w:val="en-GB"/>
        </w:rPr>
        <w:t>.</w:t>
      </w:r>
    </w:p>
    <w:p w14:paraId="56C49402" w14:textId="77777777" w:rsidR="00AF2E13" w:rsidRDefault="00AF2E13">
      <w:pPr>
        <w:spacing w:after="0" w:line="240" w:lineRule="auto"/>
        <w:jc w:val="left"/>
        <w:rPr>
          <w:b/>
          <w:caps/>
          <w:lang w:val="en-GB"/>
        </w:rPr>
      </w:pPr>
      <w:r>
        <w:rPr>
          <w:b/>
          <w:caps/>
          <w:lang w:val="en-GB"/>
        </w:rPr>
        <w:br w:type="page"/>
      </w:r>
    </w:p>
    <w:p w14:paraId="34D735C5" w14:textId="4384BFF3" w:rsidR="000F16C4" w:rsidRPr="00615AA0" w:rsidRDefault="000F16C4" w:rsidP="000F16C4">
      <w:pPr>
        <w:spacing w:line="240" w:lineRule="auto"/>
        <w:rPr>
          <w:b/>
          <w:lang w:val="en-GB"/>
        </w:rPr>
      </w:pPr>
      <w:r w:rsidRPr="00EB63F1">
        <w:rPr>
          <w:b/>
          <w:caps/>
          <w:lang w:val="en-GB"/>
        </w:rPr>
        <w:lastRenderedPageBreak/>
        <w:t>Table</w:t>
      </w:r>
      <w:r w:rsidRPr="00615AA0">
        <w:rPr>
          <w:b/>
          <w:szCs w:val="24"/>
          <w:lang w:val="en-GB"/>
        </w:rPr>
        <w:t xml:space="preserve"> 5: Logit regression results, Model 3</w:t>
      </w:r>
    </w:p>
    <w:tbl>
      <w:tblPr>
        <w:tblW w:w="5166" w:type="pct"/>
        <w:jc w:val="center"/>
        <w:tblCellMar>
          <w:left w:w="75" w:type="dxa"/>
          <w:right w:w="75" w:type="dxa"/>
        </w:tblCellMar>
        <w:tblLook w:val="0000" w:firstRow="0" w:lastRow="0" w:firstColumn="0" w:lastColumn="0" w:noHBand="0" w:noVBand="0"/>
      </w:tblPr>
      <w:tblGrid>
        <w:gridCol w:w="2958"/>
        <w:gridCol w:w="1177"/>
        <w:gridCol w:w="1470"/>
        <w:gridCol w:w="1177"/>
        <w:gridCol w:w="1563"/>
        <w:gridCol w:w="1177"/>
      </w:tblGrid>
      <w:tr w:rsidR="000F16C4" w14:paraId="52E62F50" w14:textId="77777777" w:rsidTr="000972AF">
        <w:trPr>
          <w:jc w:val="center"/>
        </w:trPr>
        <w:tc>
          <w:tcPr>
            <w:tcW w:w="1601" w:type="pct"/>
            <w:tcBorders>
              <w:top w:val="single" w:sz="6" w:space="0" w:color="auto"/>
              <w:left w:val="nil"/>
              <w:bottom w:val="nil"/>
              <w:right w:val="nil"/>
            </w:tcBorders>
          </w:tcPr>
          <w:p w14:paraId="3F369EE8" w14:textId="77777777" w:rsidR="000F16C4" w:rsidRPr="00615AA0" w:rsidRDefault="000F16C4" w:rsidP="000972AF">
            <w:pPr>
              <w:widowControl w:val="0"/>
              <w:autoSpaceDE w:val="0"/>
              <w:autoSpaceDN w:val="0"/>
              <w:adjustRightInd w:val="0"/>
              <w:spacing w:after="0" w:line="240" w:lineRule="auto"/>
              <w:rPr>
                <w:szCs w:val="24"/>
                <w:lang w:val="en-GB"/>
              </w:rPr>
            </w:pPr>
          </w:p>
        </w:tc>
        <w:tc>
          <w:tcPr>
            <w:tcW w:w="596" w:type="pct"/>
            <w:tcBorders>
              <w:top w:val="single" w:sz="6" w:space="0" w:color="auto"/>
              <w:left w:val="nil"/>
              <w:bottom w:val="nil"/>
              <w:right w:val="nil"/>
            </w:tcBorders>
          </w:tcPr>
          <w:p w14:paraId="2D7B0A0B" w14:textId="77777777" w:rsidR="000F16C4" w:rsidRDefault="000F16C4" w:rsidP="000972AF">
            <w:pPr>
              <w:widowControl w:val="0"/>
              <w:autoSpaceDE w:val="0"/>
              <w:autoSpaceDN w:val="0"/>
              <w:adjustRightInd w:val="0"/>
              <w:spacing w:after="0" w:line="240" w:lineRule="auto"/>
              <w:jc w:val="center"/>
              <w:rPr>
                <w:szCs w:val="24"/>
              </w:rPr>
            </w:pPr>
            <w:r>
              <w:rPr>
                <w:szCs w:val="24"/>
              </w:rPr>
              <w:t>(1)</w:t>
            </w:r>
          </w:p>
        </w:tc>
        <w:tc>
          <w:tcPr>
            <w:tcW w:w="819" w:type="pct"/>
            <w:tcBorders>
              <w:top w:val="single" w:sz="6" w:space="0" w:color="auto"/>
              <w:left w:val="nil"/>
              <w:bottom w:val="nil"/>
              <w:right w:val="nil"/>
            </w:tcBorders>
          </w:tcPr>
          <w:p w14:paraId="643D00B7" w14:textId="77777777" w:rsidR="000F16C4" w:rsidRDefault="000F16C4" w:rsidP="000972AF">
            <w:pPr>
              <w:widowControl w:val="0"/>
              <w:autoSpaceDE w:val="0"/>
              <w:autoSpaceDN w:val="0"/>
              <w:adjustRightInd w:val="0"/>
              <w:spacing w:after="0" w:line="240" w:lineRule="auto"/>
              <w:jc w:val="center"/>
              <w:rPr>
                <w:szCs w:val="24"/>
              </w:rPr>
            </w:pPr>
            <w:r>
              <w:rPr>
                <w:szCs w:val="24"/>
              </w:rPr>
              <w:t>(2)</w:t>
            </w:r>
          </w:p>
        </w:tc>
        <w:tc>
          <w:tcPr>
            <w:tcW w:w="596" w:type="pct"/>
            <w:tcBorders>
              <w:top w:val="single" w:sz="6" w:space="0" w:color="auto"/>
              <w:left w:val="nil"/>
              <w:bottom w:val="nil"/>
              <w:right w:val="nil"/>
            </w:tcBorders>
          </w:tcPr>
          <w:p w14:paraId="13515994" w14:textId="77777777" w:rsidR="000F16C4" w:rsidRDefault="000F16C4" w:rsidP="000972AF">
            <w:pPr>
              <w:widowControl w:val="0"/>
              <w:autoSpaceDE w:val="0"/>
              <w:autoSpaceDN w:val="0"/>
              <w:adjustRightInd w:val="0"/>
              <w:spacing w:after="0" w:line="240" w:lineRule="auto"/>
              <w:jc w:val="center"/>
              <w:rPr>
                <w:szCs w:val="24"/>
              </w:rPr>
            </w:pPr>
            <w:r>
              <w:rPr>
                <w:szCs w:val="24"/>
              </w:rPr>
              <w:t>(3)</w:t>
            </w:r>
          </w:p>
        </w:tc>
        <w:tc>
          <w:tcPr>
            <w:tcW w:w="792" w:type="pct"/>
            <w:tcBorders>
              <w:top w:val="single" w:sz="6" w:space="0" w:color="auto"/>
              <w:left w:val="nil"/>
              <w:bottom w:val="nil"/>
              <w:right w:val="nil"/>
            </w:tcBorders>
          </w:tcPr>
          <w:p w14:paraId="32E6483A" w14:textId="77777777" w:rsidR="000F16C4" w:rsidRDefault="000F16C4" w:rsidP="000972AF">
            <w:pPr>
              <w:widowControl w:val="0"/>
              <w:autoSpaceDE w:val="0"/>
              <w:autoSpaceDN w:val="0"/>
              <w:adjustRightInd w:val="0"/>
              <w:spacing w:after="0" w:line="240" w:lineRule="auto"/>
              <w:jc w:val="center"/>
              <w:rPr>
                <w:szCs w:val="24"/>
              </w:rPr>
            </w:pPr>
            <w:r>
              <w:rPr>
                <w:szCs w:val="24"/>
              </w:rPr>
              <w:t>(4)</w:t>
            </w:r>
          </w:p>
        </w:tc>
        <w:tc>
          <w:tcPr>
            <w:tcW w:w="596" w:type="pct"/>
            <w:tcBorders>
              <w:top w:val="single" w:sz="6" w:space="0" w:color="auto"/>
              <w:left w:val="nil"/>
              <w:bottom w:val="nil"/>
              <w:right w:val="nil"/>
            </w:tcBorders>
          </w:tcPr>
          <w:p w14:paraId="476D9B28" w14:textId="77777777" w:rsidR="000F16C4" w:rsidRDefault="000F16C4" w:rsidP="000972AF">
            <w:pPr>
              <w:widowControl w:val="0"/>
              <w:autoSpaceDE w:val="0"/>
              <w:autoSpaceDN w:val="0"/>
              <w:adjustRightInd w:val="0"/>
              <w:spacing w:after="0" w:line="240" w:lineRule="auto"/>
              <w:jc w:val="center"/>
              <w:rPr>
                <w:szCs w:val="24"/>
              </w:rPr>
            </w:pPr>
            <w:r>
              <w:rPr>
                <w:szCs w:val="24"/>
              </w:rPr>
              <w:t>(5)</w:t>
            </w:r>
          </w:p>
        </w:tc>
      </w:tr>
      <w:tr w:rsidR="000F16C4" w14:paraId="27F55320" w14:textId="77777777" w:rsidTr="000972AF">
        <w:trPr>
          <w:jc w:val="center"/>
        </w:trPr>
        <w:tc>
          <w:tcPr>
            <w:tcW w:w="1601" w:type="pct"/>
            <w:tcBorders>
              <w:top w:val="nil"/>
              <w:left w:val="nil"/>
              <w:bottom w:val="single" w:sz="6" w:space="0" w:color="auto"/>
              <w:right w:val="nil"/>
            </w:tcBorders>
          </w:tcPr>
          <w:p w14:paraId="63B1EB79" w14:textId="77777777" w:rsidR="000F16C4" w:rsidRDefault="000F16C4" w:rsidP="000972AF">
            <w:pPr>
              <w:widowControl w:val="0"/>
              <w:autoSpaceDE w:val="0"/>
              <w:autoSpaceDN w:val="0"/>
              <w:adjustRightInd w:val="0"/>
              <w:spacing w:after="0" w:line="240" w:lineRule="auto"/>
              <w:rPr>
                <w:szCs w:val="24"/>
              </w:rPr>
            </w:pPr>
            <w:r>
              <w:rPr>
                <w:szCs w:val="24"/>
              </w:rPr>
              <w:t>VARIABLES</w:t>
            </w:r>
          </w:p>
        </w:tc>
        <w:tc>
          <w:tcPr>
            <w:tcW w:w="596" w:type="pct"/>
            <w:tcBorders>
              <w:top w:val="nil"/>
              <w:left w:val="nil"/>
              <w:bottom w:val="single" w:sz="6" w:space="0" w:color="auto"/>
              <w:right w:val="nil"/>
            </w:tcBorders>
          </w:tcPr>
          <w:p w14:paraId="3BA371E0" w14:textId="77777777" w:rsidR="000F16C4" w:rsidRDefault="000F16C4" w:rsidP="000972AF">
            <w:pPr>
              <w:widowControl w:val="0"/>
              <w:autoSpaceDE w:val="0"/>
              <w:autoSpaceDN w:val="0"/>
              <w:adjustRightInd w:val="0"/>
              <w:spacing w:after="0" w:line="240" w:lineRule="auto"/>
              <w:jc w:val="center"/>
              <w:rPr>
                <w:szCs w:val="24"/>
              </w:rPr>
            </w:pPr>
            <w:r>
              <w:rPr>
                <w:szCs w:val="24"/>
              </w:rPr>
              <w:t>Product innovation</w:t>
            </w:r>
          </w:p>
        </w:tc>
        <w:tc>
          <w:tcPr>
            <w:tcW w:w="819" w:type="pct"/>
            <w:tcBorders>
              <w:top w:val="nil"/>
              <w:left w:val="nil"/>
              <w:bottom w:val="single" w:sz="6" w:space="0" w:color="auto"/>
              <w:right w:val="nil"/>
            </w:tcBorders>
          </w:tcPr>
          <w:p w14:paraId="08546DF4" w14:textId="77777777" w:rsidR="000F16C4" w:rsidRDefault="000F16C4" w:rsidP="000972AF">
            <w:pPr>
              <w:widowControl w:val="0"/>
              <w:autoSpaceDE w:val="0"/>
              <w:autoSpaceDN w:val="0"/>
              <w:adjustRightInd w:val="0"/>
              <w:spacing w:after="0" w:line="240" w:lineRule="auto"/>
              <w:jc w:val="center"/>
              <w:rPr>
                <w:szCs w:val="24"/>
              </w:rPr>
            </w:pPr>
            <w:r>
              <w:rPr>
                <w:szCs w:val="24"/>
              </w:rPr>
              <w:t>New-to-market innovation</w:t>
            </w:r>
          </w:p>
        </w:tc>
        <w:tc>
          <w:tcPr>
            <w:tcW w:w="596" w:type="pct"/>
            <w:tcBorders>
              <w:top w:val="nil"/>
              <w:left w:val="nil"/>
              <w:bottom w:val="single" w:sz="6" w:space="0" w:color="auto"/>
              <w:right w:val="nil"/>
            </w:tcBorders>
          </w:tcPr>
          <w:p w14:paraId="2A0AD95F" w14:textId="77777777" w:rsidR="000F16C4" w:rsidRDefault="000F16C4" w:rsidP="000972AF">
            <w:pPr>
              <w:widowControl w:val="0"/>
              <w:autoSpaceDE w:val="0"/>
              <w:autoSpaceDN w:val="0"/>
              <w:adjustRightInd w:val="0"/>
              <w:spacing w:after="0" w:line="240" w:lineRule="auto"/>
              <w:jc w:val="center"/>
              <w:rPr>
                <w:szCs w:val="24"/>
              </w:rPr>
            </w:pPr>
            <w:r>
              <w:rPr>
                <w:szCs w:val="24"/>
              </w:rPr>
              <w:t>Process innovation</w:t>
            </w:r>
          </w:p>
        </w:tc>
        <w:tc>
          <w:tcPr>
            <w:tcW w:w="792" w:type="pct"/>
            <w:tcBorders>
              <w:top w:val="nil"/>
              <w:left w:val="nil"/>
              <w:bottom w:val="single" w:sz="6" w:space="0" w:color="auto"/>
              <w:right w:val="nil"/>
            </w:tcBorders>
          </w:tcPr>
          <w:p w14:paraId="7D41E008" w14:textId="77777777" w:rsidR="000F16C4" w:rsidRDefault="000F16C4" w:rsidP="000972AF">
            <w:pPr>
              <w:widowControl w:val="0"/>
              <w:autoSpaceDE w:val="0"/>
              <w:autoSpaceDN w:val="0"/>
              <w:adjustRightInd w:val="0"/>
              <w:spacing w:after="0" w:line="240" w:lineRule="auto"/>
              <w:jc w:val="center"/>
              <w:rPr>
                <w:szCs w:val="24"/>
              </w:rPr>
            </w:pPr>
            <w:r>
              <w:rPr>
                <w:szCs w:val="24"/>
              </w:rPr>
              <w:t>Organisational innovation</w:t>
            </w:r>
          </w:p>
        </w:tc>
        <w:tc>
          <w:tcPr>
            <w:tcW w:w="596" w:type="pct"/>
            <w:tcBorders>
              <w:top w:val="nil"/>
              <w:left w:val="nil"/>
              <w:bottom w:val="single" w:sz="6" w:space="0" w:color="auto"/>
              <w:right w:val="nil"/>
            </w:tcBorders>
          </w:tcPr>
          <w:p w14:paraId="633CA0E5" w14:textId="77777777" w:rsidR="000F16C4" w:rsidRDefault="000F16C4" w:rsidP="000972AF">
            <w:pPr>
              <w:widowControl w:val="0"/>
              <w:autoSpaceDE w:val="0"/>
              <w:autoSpaceDN w:val="0"/>
              <w:adjustRightInd w:val="0"/>
              <w:spacing w:after="0" w:line="240" w:lineRule="auto"/>
              <w:jc w:val="center"/>
              <w:rPr>
                <w:szCs w:val="24"/>
              </w:rPr>
            </w:pPr>
            <w:r>
              <w:rPr>
                <w:szCs w:val="24"/>
              </w:rPr>
              <w:t>Marketing innovation</w:t>
            </w:r>
          </w:p>
        </w:tc>
      </w:tr>
      <w:tr w:rsidR="000F16C4" w14:paraId="49D3C0C2" w14:textId="77777777" w:rsidTr="000972AF">
        <w:trPr>
          <w:jc w:val="center"/>
        </w:trPr>
        <w:tc>
          <w:tcPr>
            <w:tcW w:w="1601" w:type="pct"/>
            <w:tcBorders>
              <w:top w:val="nil"/>
              <w:left w:val="nil"/>
              <w:bottom w:val="nil"/>
              <w:right w:val="nil"/>
            </w:tcBorders>
          </w:tcPr>
          <w:p w14:paraId="0982B59D" w14:textId="77777777" w:rsidR="000F16C4" w:rsidRDefault="000F16C4" w:rsidP="000972AF">
            <w:pPr>
              <w:widowControl w:val="0"/>
              <w:autoSpaceDE w:val="0"/>
              <w:autoSpaceDN w:val="0"/>
              <w:adjustRightInd w:val="0"/>
              <w:spacing w:after="0" w:line="240" w:lineRule="auto"/>
              <w:rPr>
                <w:szCs w:val="24"/>
              </w:rPr>
            </w:pPr>
          </w:p>
        </w:tc>
        <w:tc>
          <w:tcPr>
            <w:tcW w:w="596" w:type="pct"/>
            <w:tcBorders>
              <w:top w:val="nil"/>
              <w:left w:val="nil"/>
              <w:bottom w:val="nil"/>
              <w:right w:val="nil"/>
            </w:tcBorders>
          </w:tcPr>
          <w:p w14:paraId="767E0A58" w14:textId="77777777" w:rsidR="000F16C4" w:rsidRDefault="000F16C4" w:rsidP="000972AF">
            <w:pPr>
              <w:widowControl w:val="0"/>
              <w:autoSpaceDE w:val="0"/>
              <w:autoSpaceDN w:val="0"/>
              <w:adjustRightInd w:val="0"/>
              <w:spacing w:after="0" w:line="240" w:lineRule="auto"/>
              <w:jc w:val="center"/>
              <w:rPr>
                <w:szCs w:val="24"/>
              </w:rPr>
            </w:pPr>
          </w:p>
        </w:tc>
        <w:tc>
          <w:tcPr>
            <w:tcW w:w="819" w:type="pct"/>
            <w:tcBorders>
              <w:top w:val="nil"/>
              <w:left w:val="nil"/>
              <w:bottom w:val="nil"/>
              <w:right w:val="nil"/>
            </w:tcBorders>
          </w:tcPr>
          <w:p w14:paraId="5C5FC8A7" w14:textId="77777777" w:rsidR="000F16C4" w:rsidRDefault="000F16C4" w:rsidP="000972AF">
            <w:pPr>
              <w:widowControl w:val="0"/>
              <w:autoSpaceDE w:val="0"/>
              <w:autoSpaceDN w:val="0"/>
              <w:adjustRightInd w:val="0"/>
              <w:spacing w:after="0" w:line="240" w:lineRule="auto"/>
              <w:jc w:val="center"/>
              <w:rPr>
                <w:szCs w:val="24"/>
              </w:rPr>
            </w:pPr>
          </w:p>
        </w:tc>
        <w:tc>
          <w:tcPr>
            <w:tcW w:w="596" w:type="pct"/>
            <w:tcBorders>
              <w:top w:val="nil"/>
              <w:left w:val="nil"/>
              <w:bottom w:val="nil"/>
              <w:right w:val="nil"/>
            </w:tcBorders>
          </w:tcPr>
          <w:p w14:paraId="61A1A414" w14:textId="77777777" w:rsidR="000F16C4" w:rsidRDefault="000F16C4" w:rsidP="000972AF">
            <w:pPr>
              <w:widowControl w:val="0"/>
              <w:autoSpaceDE w:val="0"/>
              <w:autoSpaceDN w:val="0"/>
              <w:adjustRightInd w:val="0"/>
              <w:spacing w:after="0" w:line="240" w:lineRule="auto"/>
              <w:jc w:val="center"/>
              <w:rPr>
                <w:szCs w:val="24"/>
              </w:rPr>
            </w:pPr>
          </w:p>
        </w:tc>
        <w:tc>
          <w:tcPr>
            <w:tcW w:w="792" w:type="pct"/>
            <w:tcBorders>
              <w:top w:val="nil"/>
              <w:left w:val="nil"/>
              <w:bottom w:val="nil"/>
              <w:right w:val="nil"/>
            </w:tcBorders>
          </w:tcPr>
          <w:p w14:paraId="1120854F" w14:textId="77777777" w:rsidR="000F16C4" w:rsidRDefault="000F16C4" w:rsidP="000972AF">
            <w:pPr>
              <w:widowControl w:val="0"/>
              <w:autoSpaceDE w:val="0"/>
              <w:autoSpaceDN w:val="0"/>
              <w:adjustRightInd w:val="0"/>
              <w:spacing w:after="0" w:line="240" w:lineRule="auto"/>
              <w:jc w:val="center"/>
              <w:rPr>
                <w:szCs w:val="24"/>
              </w:rPr>
            </w:pPr>
          </w:p>
        </w:tc>
        <w:tc>
          <w:tcPr>
            <w:tcW w:w="596" w:type="pct"/>
            <w:tcBorders>
              <w:top w:val="nil"/>
              <w:left w:val="nil"/>
              <w:bottom w:val="nil"/>
              <w:right w:val="nil"/>
            </w:tcBorders>
          </w:tcPr>
          <w:p w14:paraId="27A6ECB6" w14:textId="77777777" w:rsidR="000F16C4" w:rsidRDefault="000F16C4" w:rsidP="000972AF">
            <w:pPr>
              <w:widowControl w:val="0"/>
              <w:autoSpaceDE w:val="0"/>
              <w:autoSpaceDN w:val="0"/>
              <w:adjustRightInd w:val="0"/>
              <w:spacing w:after="0" w:line="240" w:lineRule="auto"/>
              <w:jc w:val="center"/>
              <w:rPr>
                <w:szCs w:val="24"/>
              </w:rPr>
            </w:pPr>
          </w:p>
        </w:tc>
      </w:tr>
      <w:tr w:rsidR="000F16C4" w14:paraId="1177A06C" w14:textId="77777777" w:rsidTr="000972AF">
        <w:trPr>
          <w:jc w:val="center"/>
        </w:trPr>
        <w:tc>
          <w:tcPr>
            <w:tcW w:w="1601" w:type="pct"/>
            <w:tcBorders>
              <w:top w:val="nil"/>
              <w:left w:val="nil"/>
              <w:bottom w:val="nil"/>
              <w:right w:val="nil"/>
            </w:tcBorders>
          </w:tcPr>
          <w:p w14:paraId="5B96A69F" w14:textId="77777777" w:rsidR="000F16C4" w:rsidRDefault="000F16C4" w:rsidP="000972AF">
            <w:pPr>
              <w:widowControl w:val="0"/>
              <w:autoSpaceDE w:val="0"/>
              <w:autoSpaceDN w:val="0"/>
              <w:adjustRightInd w:val="0"/>
              <w:spacing w:after="0" w:line="240" w:lineRule="auto"/>
              <w:rPr>
                <w:szCs w:val="24"/>
              </w:rPr>
            </w:pPr>
            <w:r>
              <w:rPr>
                <w:szCs w:val="24"/>
              </w:rPr>
              <w:t>Innovation t-1</w:t>
            </w:r>
          </w:p>
        </w:tc>
        <w:tc>
          <w:tcPr>
            <w:tcW w:w="596" w:type="pct"/>
            <w:tcBorders>
              <w:top w:val="nil"/>
              <w:left w:val="nil"/>
              <w:bottom w:val="nil"/>
              <w:right w:val="nil"/>
            </w:tcBorders>
          </w:tcPr>
          <w:p w14:paraId="3D82FAED" w14:textId="77777777" w:rsidR="000F16C4" w:rsidRDefault="000F16C4" w:rsidP="000972AF">
            <w:pPr>
              <w:widowControl w:val="0"/>
              <w:autoSpaceDE w:val="0"/>
              <w:autoSpaceDN w:val="0"/>
              <w:adjustRightInd w:val="0"/>
              <w:spacing w:after="0" w:line="240" w:lineRule="auto"/>
              <w:jc w:val="center"/>
              <w:rPr>
                <w:szCs w:val="24"/>
              </w:rPr>
            </w:pPr>
            <w:r>
              <w:rPr>
                <w:szCs w:val="24"/>
              </w:rPr>
              <w:t>3.81***</w:t>
            </w:r>
          </w:p>
        </w:tc>
        <w:tc>
          <w:tcPr>
            <w:tcW w:w="819" w:type="pct"/>
            <w:tcBorders>
              <w:top w:val="nil"/>
              <w:left w:val="nil"/>
              <w:bottom w:val="nil"/>
              <w:right w:val="nil"/>
            </w:tcBorders>
          </w:tcPr>
          <w:p w14:paraId="64E135C7" w14:textId="77777777" w:rsidR="000F16C4" w:rsidRDefault="000F16C4" w:rsidP="000972AF">
            <w:pPr>
              <w:widowControl w:val="0"/>
              <w:autoSpaceDE w:val="0"/>
              <w:autoSpaceDN w:val="0"/>
              <w:adjustRightInd w:val="0"/>
              <w:spacing w:after="0" w:line="240" w:lineRule="auto"/>
              <w:jc w:val="center"/>
              <w:rPr>
                <w:szCs w:val="24"/>
              </w:rPr>
            </w:pPr>
            <w:r>
              <w:rPr>
                <w:szCs w:val="24"/>
              </w:rPr>
              <w:t>3.10***</w:t>
            </w:r>
          </w:p>
        </w:tc>
        <w:tc>
          <w:tcPr>
            <w:tcW w:w="596" w:type="pct"/>
            <w:tcBorders>
              <w:top w:val="nil"/>
              <w:left w:val="nil"/>
              <w:bottom w:val="nil"/>
              <w:right w:val="nil"/>
            </w:tcBorders>
          </w:tcPr>
          <w:p w14:paraId="2ED911C6" w14:textId="77777777" w:rsidR="000F16C4" w:rsidRDefault="000F16C4" w:rsidP="000972AF">
            <w:pPr>
              <w:widowControl w:val="0"/>
              <w:autoSpaceDE w:val="0"/>
              <w:autoSpaceDN w:val="0"/>
              <w:adjustRightInd w:val="0"/>
              <w:spacing w:after="0" w:line="240" w:lineRule="auto"/>
              <w:jc w:val="center"/>
              <w:rPr>
                <w:szCs w:val="24"/>
              </w:rPr>
            </w:pPr>
            <w:r>
              <w:rPr>
                <w:szCs w:val="24"/>
              </w:rPr>
              <w:t>2.56***</w:t>
            </w:r>
          </w:p>
        </w:tc>
        <w:tc>
          <w:tcPr>
            <w:tcW w:w="792" w:type="pct"/>
            <w:tcBorders>
              <w:top w:val="nil"/>
              <w:left w:val="nil"/>
              <w:bottom w:val="nil"/>
              <w:right w:val="nil"/>
            </w:tcBorders>
          </w:tcPr>
          <w:p w14:paraId="588BA3C8" w14:textId="77777777" w:rsidR="000F16C4" w:rsidRDefault="000F16C4" w:rsidP="000972AF">
            <w:pPr>
              <w:widowControl w:val="0"/>
              <w:autoSpaceDE w:val="0"/>
              <w:autoSpaceDN w:val="0"/>
              <w:adjustRightInd w:val="0"/>
              <w:spacing w:after="0" w:line="240" w:lineRule="auto"/>
              <w:jc w:val="center"/>
              <w:rPr>
                <w:szCs w:val="24"/>
              </w:rPr>
            </w:pPr>
            <w:r>
              <w:rPr>
                <w:szCs w:val="24"/>
              </w:rPr>
              <w:t>2.03***</w:t>
            </w:r>
          </w:p>
        </w:tc>
        <w:tc>
          <w:tcPr>
            <w:tcW w:w="596" w:type="pct"/>
            <w:tcBorders>
              <w:top w:val="nil"/>
              <w:left w:val="nil"/>
              <w:bottom w:val="nil"/>
              <w:right w:val="nil"/>
            </w:tcBorders>
          </w:tcPr>
          <w:p w14:paraId="00171B1C" w14:textId="77777777" w:rsidR="000F16C4" w:rsidRDefault="000F16C4" w:rsidP="000972AF">
            <w:pPr>
              <w:widowControl w:val="0"/>
              <w:autoSpaceDE w:val="0"/>
              <w:autoSpaceDN w:val="0"/>
              <w:adjustRightInd w:val="0"/>
              <w:spacing w:after="0" w:line="240" w:lineRule="auto"/>
              <w:jc w:val="center"/>
              <w:rPr>
                <w:szCs w:val="24"/>
              </w:rPr>
            </w:pPr>
            <w:r>
              <w:rPr>
                <w:szCs w:val="24"/>
              </w:rPr>
              <w:t>3.18***</w:t>
            </w:r>
          </w:p>
        </w:tc>
      </w:tr>
      <w:tr w:rsidR="000F16C4" w14:paraId="011DC3A5" w14:textId="77777777" w:rsidTr="000972AF">
        <w:trPr>
          <w:jc w:val="center"/>
        </w:trPr>
        <w:tc>
          <w:tcPr>
            <w:tcW w:w="1601" w:type="pct"/>
            <w:tcBorders>
              <w:top w:val="nil"/>
              <w:left w:val="nil"/>
              <w:bottom w:val="nil"/>
              <w:right w:val="nil"/>
            </w:tcBorders>
          </w:tcPr>
          <w:p w14:paraId="3551F8E6" w14:textId="77777777" w:rsidR="000F16C4" w:rsidRDefault="000F16C4" w:rsidP="000972AF">
            <w:pPr>
              <w:widowControl w:val="0"/>
              <w:autoSpaceDE w:val="0"/>
              <w:autoSpaceDN w:val="0"/>
              <w:adjustRightInd w:val="0"/>
              <w:spacing w:after="0" w:line="240" w:lineRule="auto"/>
              <w:rPr>
                <w:szCs w:val="24"/>
              </w:rPr>
            </w:pPr>
          </w:p>
        </w:tc>
        <w:tc>
          <w:tcPr>
            <w:tcW w:w="596" w:type="pct"/>
            <w:tcBorders>
              <w:top w:val="nil"/>
              <w:left w:val="nil"/>
              <w:bottom w:val="nil"/>
              <w:right w:val="nil"/>
            </w:tcBorders>
          </w:tcPr>
          <w:p w14:paraId="24C65063" w14:textId="77777777" w:rsidR="000F16C4" w:rsidRDefault="000F16C4" w:rsidP="000972AF">
            <w:pPr>
              <w:widowControl w:val="0"/>
              <w:autoSpaceDE w:val="0"/>
              <w:autoSpaceDN w:val="0"/>
              <w:adjustRightInd w:val="0"/>
              <w:spacing w:after="0" w:line="240" w:lineRule="auto"/>
              <w:jc w:val="center"/>
              <w:rPr>
                <w:szCs w:val="24"/>
              </w:rPr>
            </w:pPr>
            <w:r>
              <w:rPr>
                <w:szCs w:val="24"/>
              </w:rPr>
              <w:t>(0.30)</w:t>
            </w:r>
          </w:p>
        </w:tc>
        <w:tc>
          <w:tcPr>
            <w:tcW w:w="819" w:type="pct"/>
            <w:tcBorders>
              <w:top w:val="nil"/>
              <w:left w:val="nil"/>
              <w:bottom w:val="nil"/>
              <w:right w:val="nil"/>
            </w:tcBorders>
          </w:tcPr>
          <w:p w14:paraId="6706BC81" w14:textId="77777777" w:rsidR="000F16C4" w:rsidRDefault="000F16C4" w:rsidP="000972AF">
            <w:pPr>
              <w:widowControl w:val="0"/>
              <w:autoSpaceDE w:val="0"/>
              <w:autoSpaceDN w:val="0"/>
              <w:adjustRightInd w:val="0"/>
              <w:spacing w:after="0" w:line="240" w:lineRule="auto"/>
              <w:jc w:val="center"/>
              <w:rPr>
                <w:szCs w:val="24"/>
              </w:rPr>
            </w:pPr>
            <w:r>
              <w:rPr>
                <w:szCs w:val="24"/>
              </w:rPr>
              <w:t>(0.28)</w:t>
            </w:r>
          </w:p>
        </w:tc>
        <w:tc>
          <w:tcPr>
            <w:tcW w:w="596" w:type="pct"/>
            <w:tcBorders>
              <w:top w:val="nil"/>
              <w:left w:val="nil"/>
              <w:bottom w:val="nil"/>
              <w:right w:val="nil"/>
            </w:tcBorders>
          </w:tcPr>
          <w:p w14:paraId="087A9934" w14:textId="77777777" w:rsidR="000F16C4" w:rsidRDefault="000F16C4" w:rsidP="000972AF">
            <w:pPr>
              <w:widowControl w:val="0"/>
              <w:autoSpaceDE w:val="0"/>
              <w:autoSpaceDN w:val="0"/>
              <w:adjustRightInd w:val="0"/>
              <w:spacing w:after="0" w:line="240" w:lineRule="auto"/>
              <w:jc w:val="center"/>
              <w:rPr>
                <w:szCs w:val="24"/>
              </w:rPr>
            </w:pPr>
            <w:r>
              <w:rPr>
                <w:szCs w:val="24"/>
              </w:rPr>
              <w:t>(0.19)</w:t>
            </w:r>
          </w:p>
        </w:tc>
        <w:tc>
          <w:tcPr>
            <w:tcW w:w="792" w:type="pct"/>
            <w:tcBorders>
              <w:top w:val="nil"/>
              <w:left w:val="nil"/>
              <w:bottom w:val="nil"/>
              <w:right w:val="nil"/>
            </w:tcBorders>
          </w:tcPr>
          <w:p w14:paraId="6254086D" w14:textId="77777777" w:rsidR="000F16C4" w:rsidRDefault="000F16C4" w:rsidP="000972AF">
            <w:pPr>
              <w:widowControl w:val="0"/>
              <w:autoSpaceDE w:val="0"/>
              <w:autoSpaceDN w:val="0"/>
              <w:adjustRightInd w:val="0"/>
              <w:spacing w:after="0" w:line="240" w:lineRule="auto"/>
              <w:jc w:val="center"/>
              <w:rPr>
                <w:szCs w:val="24"/>
              </w:rPr>
            </w:pPr>
            <w:r>
              <w:rPr>
                <w:szCs w:val="24"/>
              </w:rPr>
              <w:t>(0.15)</w:t>
            </w:r>
          </w:p>
        </w:tc>
        <w:tc>
          <w:tcPr>
            <w:tcW w:w="596" w:type="pct"/>
            <w:tcBorders>
              <w:top w:val="nil"/>
              <w:left w:val="nil"/>
              <w:bottom w:val="nil"/>
              <w:right w:val="nil"/>
            </w:tcBorders>
          </w:tcPr>
          <w:p w14:paraId="4CD421B4" w14:textId="77777777" w:rsidR="000F16C4" w:rsidRDefault="000F16C4" w:rsidP="000972AF">
            <w:pPr>
              <w:widowControl w:val="0"/>
              <w:autoSpaceDE w:val="0"/>
              <w:autoSpaceDN w:val="0"/>
              <w:adjustRightInd w:val="0"/>
              <w:spacing w:after="0" w:line="240" w:lineRule="auto"/>
              <w:jc w:val="center"/>
              <w:rPr>
                <w:szCs w:val="24"/>
              </w:rPr>
            </w:pPr>
            <w:r>
              <w:rPr>
                <w:szCs w:val="24"/>
              </w:rPr>
              <w:t>(0.24)</w:t>
            </w:r>
          </w:p>
        </w:tc>
      </w:tr>
      <w:tr w:rsidR="000F16C4" w14:paraId="763D625B" w14:textId="77777777" w:rsidTr="000972AF">
        <w:trPr>
          <w:jc w:val="center"/>
        </w:trPr>
        <w:tc>
          <w:tcPr>
            <w:tcW w:w="1601" w:type="pct"/>
            <w:tcBorders>
              <w:top w:val="nil"/>
              <w:left w:val="nil"/>
              <w:bottom w:val="nil"/>
              <w:right w:val="nil"/>
            </w:tcBorders>
          </w:tcPr>
          <w:p w14:paraId="6DE74ED4" w14:textId="77777777" w:rsidR="000F16C4" w:rsidRDefault="000F16C4" w:rsidP="000972AF">
            <w:pPr>
              <w:widowControl w:val="0"/>
              <w:autoSpaceDE w:val="0"/>
              <w:autoSpaceDN w:val="0"/>
              <w:adjustRightInd w:val="0"/>
              <w:spacing w:after="0" w:line="240" w:lineRule="auto"/>
              <w:rPr>
                <w:szCs w:val="24"/>
              </w:rPr>
            </w:pPr>
            <w:r>
              <w:rPr>
                <w:szCs w:val="24"/>
              </w:rPr>
              <w:t>Regional partners</w:t>
            </w:r>
          </w:p>
        </w:tc>
        <w:tc>
          <w:tcPr>
            <w:tcW w:w="596" w:type="pct"/>
            <w:tcBorders>
              <w:top w:val="nil"/>
              <w:left w:val="nil"/>
              <w:bottom w:val="nil"/>
              <w:right w:val="nil"/>
            </w:tcBorders>
          </w:tcPr>
          <w:p w14:paraId="5DC81C91" w14:textId="77777777" w:rsidR="000F16C4" w:rsidRDefault="000F16C4" w:rsidP="000972AF">
            <w:pPr>
              <w:widowControl w:val="0"/>
              <w:autoSpaceDE w:val="0"/>
              <w:autoSpaceDN w:val="0"/>
              <w:adjustRightInd w:val="0"/>
              <w:spacing w:after="0" w:line="240" w:lineRule="auto"/>
              <w:jc w:val="center"/>
              <w:rPr>
                <w:szCs w:val="24"/>
              </w:rPr>
            </w:pPr>
            <w:r>
              <w:rPr>
                <w:szCs w:val="24"/>
              </w:rPr>
              <w:t>0.96</w:t>
            </w:r>
          </w:p>
        </w:tc>
        <w:tc>
          <w:tcPr>
            <w:tcW w:w="819" w:type="pct"/>
            <w:tcBorders>
              <w:top w:val="nil"/>
              <w:left w:val="nil"/>
              <w:bottom w:val="nil"/>
              <w:right w:val="nil"/>
            </w:tcBorders>
          </w:tcPr>
          <w:p w14:paraId="60FCCE4D" w14:textId="77777777" w:rsidR="000F16C4" w:rsidRDefault="000F16C4" w:rsidP="000972AF">
            <w:pPr>
              <w:widowControl w:val="0"/>
              <w:autoSpaceDE w:val="0"/>
              <w:autoSpaceDN w:val="0"/>
              <w:adjustRightInd w:val="0"/>
              <w:spacing w:after="0" w:line="240" w:lineRule="auto"/>
              <w:jc w:val="center"/>
              <w:rPr>
                <w:szCs w:val="24"/>
              </w:rPr>
            </w:pPr>
            <w:r>
              <w:rPr>
                <w:szCs w:val="24"/>
              </w:rPr>
              <w:t>1.05</w:t>
            </w:r>
          </w:p>
        </w:tc>
        <w:tc>
          <w:tcPr>
            <w:tcW w:w="596" w:type="pct"/>
            <w:tcBorders>
              <w:top w:val="nil"/>
              <w:left w:val="nil"/>
              <w:bottom w:val="nil"/>
              <w:right w:val="nil"/>
            </w:tcBorders>
          </w:tcPr>
          <w:p w14:paraId="5D8341D4" w14:textId="77777777" w:rsidR="000F16C4" w:rsidRDefault="000F16C4" w:rsidP="000972AF">
            <w:pPr>
              <w:widowControl w:val="0"/>
              <w:autoSpaceDE w:val="0"/>
              <w:autoSpaceDN w:val="0"/>
              <w:adjustRightInd w:val="0"/>
              <w:spacing w:after="0" w:line="240" w:lineRule="auto"/>
              <w:jc w:val="center"/>
              <w:rPr>
                <w:szCs w:val="24"/>
              </w:rPr>
            </w:pPr>
            <w:r>
              <w:rPr>
                <w:szCs w:val="24"/>
              </w:rPr>
              <w:t>1.10</w:t>
            </w:r>
          </w:p>
        </w:tc>
        <w:tc>
          <w:tcPr>
            <w:tcW w:w="792" w:type="pct"/>
            <w:tcBorders>
              <w:top w:val="nil"/>
              <w:left w:val="nil"/>
              <w:bottom w:val="nil"/>
              <w:right w:val="nil"/>
            </w:tcBorders>
          </w:tcPr>
          <w:p w14:paraId="0F814466" w14:textId="77777777" w:rsidR="000F16C4" w:rsidRDefault="000F16C4" w:rsidP="000972AF">
            <w:pPr>
              <w:widowControl w:val="0"/>
              <w:autoSpaceDE w:val="0"/>
              <w:autoSpaceDN w:val="0"/>
              <w:adjustRightInd w:val="0"/>
              <w:spacing w:after="0" w:line="240" w:lineRule="auto"/>
              <w:jc w:val="center"/>
              <w:rPr>
                <w:szCs w:val="24"/>
              </w:rPr>
            </w:pPr>
            <w:r>
              <w:rPr>
                <w:szCs w:val="24"/>
              </w:rPr>
              <w:t>1.10</w:t>
            </w:r>
          </w:p>
        </w:tc>
        <w:tc>
          <w:tcPr>
            <w:tcW w:w="596" w:type="pct"/>
            <w:tcBorders>
              <w:top w:val="nil"/>
              <w:left w:val="nil"/>
              <w:bottom w:val="nil"/>
              <w:right w:val="nil"/>
            </w:tcBorders>
          </w:tcPr>
          <w:p w14:paraId="6D29C37C" w14:textId="77777777" w:rsidR="000F16C4" w:rsidRDefault="000F16C4" w:rsidP="000972AF">
            <w:pPr>
              <w:widowControl w:val="0"/>
              <w:autoSpaceDE w:val="0"/>
              <w:autoSpaceDN w:val="0"/>
              <w:adjustRightInd w:val="0"/>
              <w:spacing w:after="0" w:line="240" w:lineRule="auto"/>
              <w:jc w:val="center"/>
              <w:rPr>
                <w:szCs w:val="24"/>
              </w:rPr>
            </w:pPr>
            <w:r>
              <w:rPr>
                <w:szCs w:val="24"/>
              </w:rPr>
              <w:t>1.06</w:t>
            </w:r>
          </w:p>
        </w:tc>
      </w:tr>
      <w:tr w:rsidR="000F16C4" w14:paraId="70C7A7F0" w14:textId="77777777" w:rsidTr="000972AF">
        <w:trPr>
          <w:jc w:val="center"/>
        </w:trPr>
        <w:tc>
          <w:tcPr>
            <w:tcW w:w="1601" w:type="pct"/>
            <w:tcBorders>
              <w:top w:val="nil"/>
              <w:left w:val="nil"/>
              <w:bottom w:val="nil"/>
              <w:right w:val="nil"/>
            </w:tcBorders>
          </w:tcPr>
          <w:p w14:paraId="2BF33612" w14:textId="77777777" w:rsidR="000F16C4" w:rsidRDefault="000F16C4" w:rsidP="000972AF">
            <w:pPr>
              <w:widowControl w:val="0"/>
              <w:autoSpaceDE w:val="0"/>
              <w:autoSpaceDN w:val="0"/>
              <w:adjustRightInd w:val="0"/>
              <w:spacing w:after="0" w:line="240" w:lineRule="auto"/>
              <w:rPr>
                <w:szCs w:val="24"/>
              </w:rPr>
            </w:pPr>
          </w:p>
        </w:tc>
        <w:tc>
          <w:tcPr>
            <w:tcW w:w="596" w:type="pct"/>
            <w:tcBorders>
              <w:top w:val="nil"/>
              <w:left w:val="nil"/>
              <w:bottom w:val="nil"/>
              <w:right w:val="nil"/>
            </w:tcBorders>
          </w:tcPr>
          <w:p w14:paraId="2C6E1181" w14:textId="77777777" w:rsidR="000F16C4" w:rsidRDefault="000F16C4" w:rsidP="000972AF">
            <w:pPr>
              <w:widowControl w:val="0"/>
              <w:autoSpaceDE w:val="0"/>
              <w:autoSpaceDN w:val="0"/>
              <w:adjustRightInd w:val="0"/>
              <w:spacing w:after="0" w:line="240" w:lineRule="auto"/>
              <w:jc w:val="center"/>
              <w:rPr>
                <w:szCs w:val="24"/>
              </w:rPr>
            </w:pPr>
            <w:r>
              <w:rPr>
                <w:szCs w:val="24"/>
              </w:rPr>
              <w:t>(0.06)</w:t>
            </w:r>
          </w:p>
        </w:tc>
        <w:tc>
          <w:tcPr>
            <w:tcW w:w="819" w:type="pct"/>
            <w:tcBorders>
              <w:top w:val="nil"/>
              <w:left w:val="nil"/>
              <w:bottom w:val="nil"/>
              <w:right w:val="nil"/>
            </w:tcBorders>
          </w:tcPr>
          <w:p w14:paraId="15A247D9" w14:textId="77777777" w:rsidR="000F16C4" w:rsidRDefault="000F16C4" w:rsidP="000972AF">
            <w:pPr>
              <w:widowControl w:val="0"/>
              <w:autoSpaceDE w:val="0"/>
              <w:autoSpaceDN w:val="0"/>
              <w:adjustRightInd w:val="0"/>
              <w:spacing w:after="0" w:line="240" w:lineRule="auto"/>
              <w:jc w:val="center"/>
              <w:rPr>
                <w:szCs w:val="24"/>
              </w:rPr>
            </w:pPr>
            <w:r>
              <w:rPr>
                <w:szCs w:val="24"/>
              </w:rPr>
              <w:t>(0.07)</w:t>
            </w:r>
          </w:p>
        </w:tc>
        <w:tc>
          <w:tcPr>
            <w:tcW w:w="596" w:type="pct"/>
            <w:tcBorders>
              <w:top w:val="nil"/>
              <w:left w:val="nil"/>
              <w:bottom w:val="nil"/>
              <w:right w:val="nil"/>
            </w:tcBorders>
          </w:tcPr>
          <w:p w14:paraId="0DAB1C56" w14:textId="77777777" w:rsidR="000F16C4" w:rsidRDefault="000F16C4" w:rsidP="000972AF">
            <w:pPr>
              <w:widowControl w:val="0"/>
              <w:autoSpaceDE w:val="0"/>
              <w:autoSpaceDN w:val="0"/>
              <w:adjustRightInd w:val="0"/>
              <w:spacing w:after="0" w:line="240" w:lineRule="auto"/>
              <w:jc w:val="center"/>
              <w:rPr>
                <w:szCs w:val="24"/>
              </w:rPr>
            </w:pPr>
            <w:r>
              <w:rPr>
                <w:szCs w:val="24"/>
              </w:rPr>
              <w:t>(0.07)</w:t>
            </w:r>
          </w:p>
        </w:tc>
        <w:tc>
          <w:tcPr>
            <w:tcW w:w="792" w:type="pct"/>
            <w:tcBorders>
              <w:top w:val="nil"/>
              <w:left w:val="nil"/>
              <w:bottom w:val="nil"/>
              <w:right w:val="nil"/>
            </w:tcBorders>
          </w:tcPr>
          <w:p w14:paraId="786AD42C" w14:textId="77777777" w:rsidR="000F16C4" w:rsidRDefault="000F16C4" w:rsidP="000972AF">
            <w:pPr>
              <w:widowControl w:val="0"/>
              <w:autoSpaceDE w:val="0"/>
              <w:autoSpaceDN w:val="0"/>
              <w:adjustRightInd w:val="0"/>
              <w:spacing w:after="0" w:line="240" w:lineRule="auto"/>
              <w:jc w:val="center"/>
              <w:rPr>
                <w:szCs w:val="24"/>
              </w:rPr>
            </w:pPr>
            <w:r>
              <w:rPr>
                <w:szCs w:val="24"/>
              </w:rPr>
              <w:t>(0.07)</w:t>
            </w:r>
          </w:p>
        </w:tc>
        <w:tc>
          <w:tcPr>
            <w:tcW w:w="596" w:type="pct"/>
            <w:tcBorders>
              <w:top w:val="nil"/>
              <w:left w:val="nil"/>
              <w:bottom w:val="nil"/>
              <w:right w:val="nil"/>
            </w:tcBorders>
          </w:tcPr>
          <w:p w14:paraId="355AA062" w14:textId="77777777" w:rsidR="000F16C4" w:rsidRDefault="000F16C4" w:rsidP="000972AF">
            <w:pPr>
              <w:widowControl w:val="0"/>
              <w:autoSpaceDE w:val="0"/>
              <w:autoSpaceDN w:val="0"/>
              <w:adjustRightInd w:val="0"/>
              <w:spacing w:after="0" w:line="240" w:lineRule="auto"/>
              <w:jc w:val="center"/>
              <w:rPr>
                <w:szCs w:val="24"/>
              </w:rPr>
            </w:pPr>
            <w:r>
              <w:rPr>
                <w:szCs w:val="24"/>
              </w:rPr>
              <w:t>(0.07)</w:t>
            </w:r>
          </w:p>
        </w:tc>
      </w:tr>
      <w:tr w:rsidR="000F16C4" w14:paraId="3CADF607" w14:textId="77777777" w:rsidTr="000972AF">
        <w:trPr>
          <w:jc w:val="center"/>
        </w:trPr>
        <w:tc>
          <w:tcPr>
            <w:tcW w:w="1601" w:type="pct"/>
            <w:tcBorders>
              <w:top w:val="nil"/>
              <w:left w:val="nil"/>
              <w:bottom w:val="nil"/>
              <w:right w:val="nil"/>
            </w:tcBorders>
          </w:tcPr>
          <w:p w14:paraId="3682A84F" w14:textId="77777777" w:rsidR="000F16C4" w:rsidRDefault="000F16C4" w:rsidP="000972AF">
            <w:pPr>
              <w:widowControl w:val="0"/>
              <w:autoSpaceDE w:val="0"/>
              <w:autoSpaceDN w:val="0"/>
              <w:adjustRightInd w:val="0"/>
              <w:spacing w:after="0" w:line="240" w:lineRule="auto"/>
              <w:rPr>
                <w:szCs w:val="24"/>
              </w:rPr>
            </w:pPr>
            <w:r>
              <w:rPr>
                <w:szCs w:val="24"/>
              </w:rPr>
              <w:t>National partners</w:t>
            </w:r>
          </w:p>
        </w:tc>
        <w:tc>
          <w:tcPr>
            <w:tcW w:w="596" w:type="pct"/>
            <w:tcBorders>
              <w:top w:val="nil"/>
              <w:left w:val="nil"/>
              <w:bottom w:val="nil"/>
              <w:right w:val="nil"/>
            </w:tcBorders>
          </w:tcPr>
          <w:p w14:paraId="4D7FBDEF" w14:textId="77777777" w:rsidR="000F16C4" w:rsidRDefault="000F16C4" w:rsidP="000972AF">
            <w:pPr>
              <w:widowControl w:val="0"/>
              <w:autoSpaceDE w:val="0"/>
              <w:autoSpaceDN w:val="0"/>
              <w:adjustRightInd w:val="0"/>
              <w:spacing w:after="0" w:line="240" w:lineRule="auto"/>
              <w:jc w:val="center"/>
              <w:rPr>
                <w:szCs w:val="24"/>
              </w:rPr>
            </w:pPr>
            <w:r>
              <w:rPr>
                <w:szCs w:val="24"/>
              </w:rPr>
              <w:t>0.98</w:t>
            </w:r>
          </w:p>
        </w:tc>
        <w:tc>
          <w:tcPr>
            <w:tcW w:w="819" w:type="pct"/>
            <w:tcBorders>
              <w:top w:val="nil"/>
              <w:left w:val="nil"/>
              <w:bottom w:val="nil"/>
              <w:right w:val="nil"/>
            </w:tcBorders>
          </w:tcPr>
          <w:p w14:paraId="38A64E7E" w14:textId="77777777" w:rsidR="000F16C4" w:rsidRDefault="000F16C4" w:rsidP="000972AF">
            <w:pPr>
              <w:widowControl w:val="0"/>
              <w:autoSpaceDE w:val="0"/>
              <w:autoSpaceDN w:val="0"/>
              <w:adjustRightInd w:val="0"/>
              <w:spacing w:after="0" w:line="240" w:lineRule="auto"/>
              <w:jc w:val="center"/>
              <w:rPr>
                <w:szCs w:val="24"/>
              </w:rPr>
            </w:pPr>
            <w:r>
              <w:rPr>
                <w:szCs w:val="24"/>
              </w:rPr>
              <w:t>1.01</w:t>
            </w:r>
          </w:p>
        </w:tc>
        <w:tc>
          <w:tcPr>
            <w:tcW w:w="596" w:type="pct"/>
            <w:tcBorders>
              <w:top w:val="nil"/>
              <w:left w:val="nil"/>
              <w:bottom w:val="nil"/>
              <w:right w:val="nil"/>
            </w:tcBorders>
          </w:tcPr>
          <w:p w14:paraId="5F1E1B5A" w14:textId="77777777" w:rsidR="000F16C4" w:rsidRDefault="000F16C4" w:rsidP="000972AF">
            <w:pPr>
              <w:widowControl w:val="0"/>
              <w:autoSpaceDE w:val="0"/>
              <w:autoSpaceDN w:val="0"/>
              <w:adjustRightInd w:val="0"/>
              <w:spacing w:after="0" w:line="240" w:lineRule="auto"/>
              <w:jc w:val="center"/>
              <w:rPr>
                <w:szCs w:val="24"/>
              </w:rPr>
            </w:pPr>
            <w:r>
              <w:rPr>
                <w:szCs w:val="24"/>
              </w:rPr>
              <w:t>0.97</w:t>
            </w:r>
          </w:p>
        </w:tc>
        <w:tc>
          <w:tcPr>
            <w:tcW w:w="792" w:type="pct"/>
            <w:tcBorders>
              <w:top w:val="nil"/>
              <w:left w:val="nil"/>
              <w:bottom w:val="nil"/>
              <w:right w:val="nil"/>
            </w:tcBorders>
          </w:tcPr>
          <w:p w14:paraId="210C34E6" w14:textId="77777777" w:rsidR="000F16C4" w:rsidRDefault="000F16C4" w:rsidP="000972AF">
            <w:pPr>
              <w:widowControl w:val="0"/>
              <w:autoSpaceDE w:val="0"/>
              <w:autoSpaceDN w:val="0"/>
              <w:adjustRightInd w:val="0"/>
              <w:spacing w:after="0" w:line="240" w:lineRule="auto"/>
              <w:jc w:val="center"/>
              <w:rPr>
                <w:szCs w:val="24"/>
              </w:rPr>
            </w:pPr>
            <w:r>
              <w:rPr>
                <w:szCs w:val="24"/>
              </w:rPr>
              <w:t>1.05</w:t>
            </w:r>
          </w:p>
        </w:tc>
        <w:tc>
          <w:tcPr>
            <w:tcW w:w="596" w:type="pct"/>
            <w:tcBorders>
              <w:top w:val="nil"/>
              <w:left w:val="nil"/>
              <w:bottom w:val="nil"/>
              <w:right w:val="nil"/>
            </w:tcBorders>
          </w:tcPr>
          <w:p w14:paraId="6C560FED" w14:textId="77777777" w:rsidR="000F16C4" w:rsidRDefault="000F16C4" w:rsidP="000972AF">
            <w:pPr>
              <w:widowControl w:val="0"/>
              <w:autoSpaceDE w:val="0"/>
              <w:autoSpaceDN w:val="0"/>
              <w:adjustRightInd w:val="0"/>
              <w:spacing w:after="0" w:line="240" w:lineRule="auto"/>
              <w:jc w:val="center"/>
              <w:rPr>
                <w:szCs w:val="24"/>
              </w:rPr>
            </w:pPr>
            <w:r>
              <w:rPr>
                <w:szCs w:val="24"/>
              </w:rPr>
              <w:t>0.97</w:t>
            </w:r>
          </w:p>
        </w:tc>
      </w:tr>
      <w:tr w:rsidR="000F16C4" w14:paraId="0666ED15" w14:textId="77777777" w:rsidTr="000972AF">
        <w:trPr>
          <w:jc w:val="center"/>
        </w:trPr>
        <w:tc>
          <w:tcPr>
            <w:tcW w:w="1601" w:type="pct"/>
            <w:tcBorders>
              <w:top w:val="nil"/>
              <w:left w:val="nil"/>
              <w:bottom w:val="nil"/>
              <w:right w:val="nil"/>
            </w:tcBorders>
          </w:tcPr>
          <w:p w14:paraId="78C438FD" w14:textId="77777777" w:rsidR="000F16C4" w:rsidRDefault="000F16C4" w:rsidP="000972AF">
            <w:pPr>
              <w:widowControl w:val="0"/>
              <w:autoSpaceDE w:val="0"/>
              <w:autoSpaceDN w:val="0"/>
              <w:adjustRightInd w:val="0"/>
              <w:spacing w:after="0" w:line="240" w:lineRule="auto"/>
              <w:rPr>
                <w:szCs w:val="24"/>
              </w:rPr>
            </w:pPr>
          </w:p>
        </w:tc>
        <w:tc>
          <w:tcPr>
            <w:tcW w:w="596" w:type="pct"/>
            <w:tcBorders>
              <w:top w:val="nil"/>
              <w:left w:val="nil"/>
              <w:bottom w:val="nil"/>
              <w:right w:val="nil"/>
            </w:tcBorders>
          </w:tcPr>
          <w:p w14:paraId="1ACB48EF"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819" w:type="pct"/>
            <w:tcBorders>
              <w:top w:val="nil"/>
              <w:left w:val="nil"/>
              <w:bottom w:val="nil"/>
              <w:right w:val="nil"/>
            </w:tcBorders>
          </w:tcPr>
          <w:p w14:paraId="03B9B898"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596" w:type="pct"/>
            <w:tcBorders>
              <w:top w:val="nil"/>
              <w:left w:val="nil"/>
              <w:bottom w:val="nil"/>
              <w:right w:val="nil"/>
            </w:tcBorders>
          </w:tcPr>
          <w:p w14:paraId="06EB4270"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792" w:type="pct"/>
            <w:tcBorders>
              <w:top w:val="nil"/>
              <w:left w:val="nil"/>
              <w:bottom w:val="nil"/>
              <w:right w:val="nil"/>
            </w:tcBorders>
          </w:tcPr>
          <w:p w14:paraId="0A608467"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596" w:type="pct"/>
            <w:tcBorders>
              <w:top w:val="nil"/>
              <w:left w:val="nil"/>
              <w:bottom w:val="nil"/>
              <w:right w:val="nil"/>
            </w:tcBorders>
          </w:tcPr>
          <w:p w14:paraId="33C4225C"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r>
      <w:tr w:rsidR="000F16C4" w14:paraId="2FD0B996" w14:textId="77777777" w:rsidTr="000972AF">
        <w:trPr>
          <w:jc w:val="center"/>
        </w:trPr>
        <w:tc>
          <w:tcPr>
            <w:tcW w:w="1601" w:type="pct"/>
            <w:tcBorders>
              <w:top w:val="nil"/>
              <w:left w:val="nil"/>
              <w:bottom w:val="nil"/>
              <w:right w:val="nil"/>
            </w:tcBorders>
          </w:tcPr>
          <w:p w14:paraId="35A1E0F2" w14:textId="77777777" w:rsidR="000F16C4" w:rsidRDefault="000F16C4" w:rsidP="000972AF">
            <w:pPr>
              <w:widowControl w:val="0"/>
              <w:autoSpaceDE w:val="0"/>
              <w:autoSpaceDN w:val="0"/>
              <w:adjustRightInd w:val="0"/>
              <w:spacing w:after="0" w:line="240" w:lineRule="auto"/>
              <w:rPr>
                <w:szCs w:val="24"/>
              </w:rPr>
            </w:pPr>
            <w:r>
              <w:rPr>
                <w:szCs w:val="24"/>
              </w:rPr>
              <w:t>Foreign partners</w:t>
            </w:r>
          </w:p>
        </w:tc>
        <w:tc>
          <w:tcPr>
            <w:tcW w:w="596" w:type="pct"/>
            <w:tcBorders>
              <w:top w:val="nil"/>
              <w:left w:val="nil"/>
              <w:bottom w:val="nil"/>
              <w:right w:val="nil"/>
            </w:tcBorders>
          </w:tcPr>
          <w:p w14:paraId="1E3F8519" w14:textId="77777777" w:rsidR="000F16C4" w:rsidRDefault="000F16C4" w:rsidP="000972AF">
            <w:pPr>
              <w:widowControl w:val="0"/>
              <w:autoSpaceDE w:val="0"/>
              <w:autoSpaceDN w:val="0"/>
              <w:adjustRightInd w:val="0"/>
              <w:spacing w:after="0" w:line="240" w:lineRule="auto"/>
              <w:jc w:val="center"/>
              <w:rPr>
                <w:szCs w:val="24"/>
              </w:rPr>
            </w:pPr>
            <w:r>
              <w:rPr>
                <w:szCs w:val="24"/>
              </w:rPr>
              <w:t>1.12***</w:t>
            </w:r>
          </w:p>
        </w:tc>
        <w:tc>
          <w:tcPr>
            <w:tcW w:w="819" w:type="pct"/>
            <w:tcBorders>
              <w:top w:val="nil"/>
              <w:left w:val="nil"/>
              <w:bottom w:val="nil"/>
              <w:right w:val="nil"/>
            </w:tcBorders>
          </w:tcPr>
          <w:p w14:paraId="05E1DA1D" w14:textId="77777777" w:rsidR="000F16C4" w:rsidRDefault="000F16C4" w:rsidP="000972AF">
            <w:pPr>
              <w:widowControl w:val="0"/>
              <w:autoSpaceDE w:val="0"/>
              <w:autoSpaceDN w:val="0"/>
              <w:adjustRightInd w:val="0"/>
              <w:spacing w:after="0" w:line="240" w:lineRule="auto"/>
              <w:jc w:val="center"/>
              <w:rPr>
                <w:szCs w:val="24"/>
              </w:rPr>
            </w:pPr>
            <w:r>
              <w:rPr>
                <w:szCs w:val="24"/>
              </w:rPr>
              <w:t>1.07*</w:t>
            </w:r>
          </w:p>
        </w:tc>
        <w:tc>
          <w:tcPr>
            <w:tcW w:w="596" w:type="pct"/>
            <w:tcBorders>
              <w:top w:val="nil"/>
              <w:left w:val="nil"/>
              <w:bottom w:val="nil"/>
              <w:right w:val="nil"/>
            </w:tcBorders>
          </w:tcPr>
          <w:p w14:paraId="44794FB2" w14:textId="77777777" w:rsidR="000F16C4" w:rsidRDefault="000F16C4" w:rsidP="000972AF">
            <w:pPr>
              <w:widowControl w:val="0"/>
              <w:autoSpaceDE w:val="0"/>
              <w:autoSpaceDN w:val="0"/>
              <w:adjustRightInd w:val="0"/>
              <w:spacing w:after="0" w:line="240" w:lineRule="auto"/>
              <w:jc w:val="center"/>
              <w:rPr>
                <w:szCs w:val="24"/>
              </w:rPr>
            </w:pPr>
            <w:r>
              <w:rPr>
                <w:szCs w:val="24"/>
              </w:rPr>
              <w:t>1.04</w:t>
            </w:r>
          </w:p>
        </w:tc>
        <w:tc>
          <w:tcPr>
            <w:tcW w:w="792" w:type="pct"/>
            <w:tcBorders>
              <w:top w:val="nil"/>
              <w:left w:val="nil"/>
              <w:bottom w:val="nil"/>
              <w:right w:val="nil"/>
            </w:tcBorders>
          </w:tcPr>
          <w:p w14:paraId="7CF32C3D" w14:textId="77777777" w:rsidR="000F16C4" w:rsidRDefault="000F16C4" w:rsidP="000972AF">
            <w:pPr>
              <w:widowControl w:val="0"/>
              <w:autoSpaceDE w:val="0"/>
              <w:autoSpaceDN w:val="0"/>
              <w:adjustRightInd w:val="0"/>
              <w:spacing w:after="0" w:line="240" w:lineRule="auto"/>
              <w:jc w:val="center"/>
              <w:rPr>
                <w:szCs w:val="24"/>
              </w:rPr>
            </w:pPr>
            <w:r>
              <w:rPr>
                <w:szCs w:val="24"/>
              </w:rPr>
              <w:t>0.99</w:t>
            </w:r>
          </w:p>
        </w:tc>
        <w:tc>
          <w:tcPr>
            <w:tcW w:w="596" w:type="pct"/>
            <w:tcBorders>
              <w:top w:val="nil"/>
              <w:left w:val="nil"/>
              <w:bottom w:val="nil"/>
              <w:right w:val="nil"/>
            </w:tcBorders>
          </w:tcPr>
          <w:p w14:paraId="17F5126E" w14:textId="77777777" w:rsidR="000F16C4" w:rsidRDefault="000F16C4" w:rsidP="000972AF">
            <w:pPr>
              <w:widowControl w:val="0"/>
              <w:autoSpaceDE w:val="0"/>
              <w:autoSpaceDN w:val="0"/>
              <w:adjustRightInd w:val="0"/>
              <w:spacing w:after="0" w:line="240" w:lineRule="auto"/>
              <w:jc w:val="center"/>
              <w:rPr>
                <w:szCs w:val="24"/>
              </w:rPr>
            </w:pPr>
            <w:r>
              <w:rPr>
                <w:szCs w:val="24"/>
              </w:rPr>
              <w:t>1.07*</w:t>
            </w:r>
          </w:p>
        </w:tc>
      </w:tr>
      <w:tr w:rsidR="000F16C4" w14:paraId="5095F897" w14:textId="77777777" w:rsidTr="000972AF">
        <w:trPr>
          <w:jc w:val="center"/>
        </w:trPr>
        <w:tc>
          <w:tcPr>
            <w:tcW w:w="1601" w:type="pct"/>
            <w:tcBorders>
              <w:top w:val="nil"/>
              <w:left w:val="nil"/>
              <w:bottom w:val="nil"/>
              <w:right w:val="nil"/>
            </w:tcBorders>
          </w:tcPr>
          <w:p w14:paraId="756C8F19" w14:textId="77777777" w:rsidR="000F16C4" w:rsidRDefault="000F16C4" w:rsidP="000972AF">
            <w:pPr>
              <w:widowControl w:val="0"/>
              <w:autoSpaceDE w:val="0"/>
              <w:autoSpaceDN w:val="0"/>
              <w:adjustRightInd w:val="0"/>
              <w:spacing w:after="0" w:line="240" w:lineRule="auto"/>
              <w:rPr>
                <w:szCs w:val="24"/>
              </w:rPr>
            </w:pPr>
          </w:p>
        </w:tc>
        <w:tc>
          <w:tcPr>
            <w:tcW w:w="596" w:type="pct"/>
            <w:tcBorders>
              <w:top w:val="nil"/>
              <w:left w:val="nil"/>
              <w:bottom w:val="nil"/>
              <w:right w:val="nil"/>
            </w:tcBorders>
          </w:tcPr>
          <w:p w14:paraId="60BAA997" w14:textId="77777777" w:rsidR="000F16C4" w:rsidRDefault="000F16C4" w:rsidP="000972AF">
            <w:pPr>
              <w:widowControl w:val="0"/>
              <w:autoSpaceDE w:val="0"/>
              <w:autoSpaceDN w:val="0"/>
              <w:adjustRightInd w:val="0"/>
              <w:spacing w:after="0" w:line="240" w:lineRule="auto"/>
              <w:jc w:val="center"/>
              <w:rPr>
                <w:szCs w:val="24"/>
              </w:rPr>
            </w:pPr>
            <w:r>
              <w:rPr>
                <w:szCs w:val="24"/>
              </w:rPr>
              <w:t>(0.04)</w:t>
            </w:r>
          </w:p>
        </w:tc>
        <w:tc>
          <w:tcPr>
            <w:tcW w:w="819" w:type="pct"/>
            <w:tcBorders>
              <w:top w:val="nil"/>
              <w:left w:val="nil"/>
              <w:bottom w:val="nil"/>
              <w:right w:val="nil"/>
            </w:tcBorders>
          </w:tcPr>
          <w:p w14:paraId="7408FB44"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596" w:type="pct"/>
            <w:tcBorders>
              <w:top w:val="nil"/>
              <w:left w:val="nil"/>
              <w:bottom w:val="nil"/>
              <w:right w:val="nil"/>
            </w:tcBorders>
          </w:tcPr>
          <w:p w14:paraId="179C51BF"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792" w:type="pct"/>
            <w:tcBorders>
              <w:top w:val="nil"/>
              <w:left w:val="nil"/>
              <w:bottom w:val="nil"/>
              <w:right w:val="nil"/>
            </w:tcBorders>
          </w:tcPr>
          <w:p w14:paraId="62F8D18B"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596" w:type="pct"/>
            <w:tcBorders>
              <w:top w:val="nil"/>
              <w:left w:val="nil"/>
              <w:bottom w:val="nil"/>
              <w:right w:val="nil"/>
            </w:tcBorders>
          </w:tcPr>
          <w:p w14:paraId="7E8BB46F"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r>
      <w:tr w:rsidR="000F16C4" w14:paraId="16737BF1" w14:textId="77777777" w:rsidTr="000972AF">
        <w:trPr>
          <w:jc w:val="center"/>
        </w:trPr>
        <w:tc>
          <w:tcPr>
            <w:tcW w:w="1601" w:type="pct"/>
            <w:tcBorders>
              <w:top w:val="nil"/>
              <w:left w:val="nil"/>
              <w:bottom w:val="nil"/>
              <w:right w:val="nil"/>
            </w:tcBorders>
          </w:tcPr>
          <w:p w14:paraId="246E92D9" w14:textId="77777777" w:rsidR="000F16C4" w:rsidRDefault="000F16C4" w:rsidP="000972AF">
            <w:pPr>
              <w:widowControl w:val="0"/>
              <w:autoSpaceDE w:val="0"/>
              <w:autoSpaceDN w:val="0"/>
              <w:adjustRightInd w:val="0"/>
              <w:spacing w:after="0" w:line="240" w:lineRule="auto"/>
              <w:rPr>
                <w:szCs w:val="24"/>
              </w:rPr>
            </w:pPr>
            <w:r>
              <w:rPr>
                <w:szCs w:val="24"/>
              </w:rPr>
              <w:t>Small city</w:t>
            </w:r>
          </w:p>
        </w:tc>
        <w:tc>
          <w:tcPr>
            <w:tcW w:w="596" w:type="pct"/>
            <w:tcBorders>
              <w:top w:val="nil"/>
              <w:left w:val="nil"/>
              <w:bottom w:val="nil"/>
              <w:right w:val="nil"/>
            </w:tcBorders>
          </w:tcPr>
          <w:p w14:paraId="41044814" w14:textId="77777777" w:rsidR="000F16C4" w:rsidRDefault="000F16C4" w:rsidP="000972AF">
            <w:pPr>
              <w:widowControl w:val="0"/>
              <w:autoSpaceDE w:val="0"/>
              <w:autoSpaceDN w:val="0"/>
              <w:adjustRightInd w:val="0"/>
              <w:spacing w:after="0" w:line="240" w:lineRule="auto"/>
              <w:jc w:val="center"/>
              <w:rPr>
                <w:szCs w:val="24"/>
              </w:rPr>
            </w:pPr>
            <w:r>
              <w:rPr>
                <w:szCs w:val="24"/>
              </w:rPr>
              <w:t>1.13</w:t>
            </w:r>
          </w:p>
        </w:tc>
        <w:tc>
          <w:tcPr>
            <w:tcW w:w="819" w:type="pct"/>
            <w:tcBorders>
              <w:top w:val="nil"/>
              <w:left w:val="nil"/>
              <w:bottom w:val="nil"/>
              <w:right w:val="nil"/>
            </w:tcBorders>
          </w:tcPr>
          <w:p w14:paraId="5C4DF869" w14:textId="77777777" w:rsidR="000F16C4" w:rsidRDefault="000F16C4" w:rsidP="000972AF">
            <w:pPr>
              <w:widowControl w:val="0"/>
              <w:autoSpaceDE w:val="0"/>
              <w:autoSpaceDN w:val="0"/>
              <w:adjustRightInd w:val="0"/>
              <w:spacing w:after="0" w:line="240" w:lineRule="auto"/>
              <w:jc w:val="center"/>
              <w:rPr>
                <w:szCs w:val="24"/>
              </w:rPr>
            </w:pPr>
            <w:r>
              <w:rPr>
                <w:szCs w:val="24"/>
              </w:rPr>
              <w:t>1.20+</w:t>
            </w:r>
          </w:p>
        </w:tc>
        <w:tc>
          <w:tcPr>
            <w:tcW w:w="596" w:type="pct"/>
            <w:tcBorders>
              <w:top w:val="nil"/>
              <w:left w:val="nil"/>
              <w:bottom w:val="nil"/>
              <w:right w:val="nil"/>
            </w:tcBorders>
          </w:tcPr>
          <w:p w14:paraId="363FC97C" w14:textId="77777777" w:rsidR="000F16C4" w:rsidRDefault="000F16C4" w:rsidP="000972AF">
            <w:pPr>
              <w:widowControl w:val="0"/>
              <w:autoSpaceDE w:val="0"/>
              <w:autoSpaceDN w:val="0"/>
              <w:adjustRightInd w:val="0"/>
              <w:spacing w:after="0" w:line="240" w:lineRule="auto"/>
              <w:jc w:val="center"/>
              <w:rPr>
                <w:szCs w:val="24"/>
              </w:rPr>
            </w:pPr>
            <w:r>
              <w:rPr>
                <w:szCs w:val="24"/>
              </w:rPr>
              <w:t>0.94</w:t>
            </w:r>
          </w:p>
        </w:tc>
        <w:tc>
          <w:tcPr>
            <w:tcW w:w="792" w:type="pct"/>
            <w:tcBorders>
              <w:top w:val="nil"/>
              <w:left w:val="nil"/>
              <w:bottom w:val="nil"/>
              <w:right w:val="nil"/>
            </w:tcBorders>
          </w:tcPr>
          <w:p w14:paraId="48215EC2" w14:textId="77777777" w:rsidR="000F16C4" w:rsidRDefault="000F16C4" w:rsidP="000972AF">
            <w:pPr>
              <w:widowControl w:val="0"/>
              <w:autoSpaceDE w:val="0"/>
              <w:autoSpaceDN w:val="0"/>
              <w:adjustRightInd w:val="0"/>
              <w:spacing w:after="0" w:line="240" w:lineRule="auto"/>
              <w:jc w:val="center"/>
              <w:rPr>
                <w:szCs w:val="24"/>
              </w:rPr>
            </w:pPr>
            <w:r>
              <w:rPr>
                <w:szCs w:val="24"/>
              </w:rPr>
              <w:t>1.01</w:t>
            </w:r>
          </w:p>
        </w:tc>
        <w:tc>
          <w:tcPr>
            <w:tcW w:w="596" w:type="pct"/>
            <w:tcBorders>
              <w:top w:val="nil"/>
              <w:left w:val="nil"/>
              <w:bottom w:val="nil"/>
              <w:right w:val="nil"/>
            </w:tcBorders>
          </w:tcPr>
          <w:p w14:paraId="433D019B" w14:textId="77777777" w:rsidR="000F16C4" w:rsidRDefault="000F16C4" w:rsidP="000972AF">
            <w:pPr>
              <w:widowControl w:val="0"/>
              <w:autoSpaceDE w:val="0"/>
              <w:autoSpaceDN w:val="0"/>
              <w:adjustRightInd w:val="0"/>
              <w:spacing w:after="0" w:line="240" w:lineRule="auto"/>
              <w:jc w:val="center"/>
              <w:rPr>
                <w:szCs w:val="24"/>
              </w:rPr>
            </w:pPr>
            <w:r>
              <w:rPr>
                <w:szCs w:val="24"/>
              </w:rPr>
              <w:t>0.97</w:t>
            </w:r>
          </w:p>
        </w:tc>
      </w:tr>
      <w:tr w:rsidR="000F16C4" w14:paraId="33247473" w14:textId="77777777" w:rsidTr="000972AF">
        <w:trPr>
          <w:jc w:val="center"/>
        </w:trPr>
        <w:tc>
          <w:tcPr>
            <w:tcW w:w="1601" w:type="pct"/>
            <w:tcBorders>
              <w:top w:val="nil"/>
              <w:left w:val="nil"/>
              <w:bottom w:val="nil"/>
              <w:right w:val="nil"/>
            </w:tcBorders>
          </w:tcPr>
          <w:p w14:paraId="67667DDA" w14:textId="77777777" w:rsidR="000F16C4" w:rsidRDefault="000F16C4" w:rsidP="000972AF">
            <w:pPr>
              <w:widowControl w:val="0"/>
              <w:autoSpaceDE w:val="0"/>
              <w:autoSpaceDN w:val="0"/>
              <w:adjustRightInd w:val="0"/>
              <w:spacing w:after="0" w:line="240" w:lineRule="auto"/>
              <w:rPr>
                <w:szCs w:val="24"/>
              </w:rPr>
            </w:pPr>
          </w:p>
        </w:tc>
        <w:tc>
          <w:tcPr>
            <w:tcW w:w="596" w:type="pct"/>
            <w:tcBorders>
              <w:top w:val="nil"/>
              <w:left w:val="nil"/>
              <w:bottom w:val="nil"/>
              <w:right w:val="nil"/>
            </w:tcBorders>
          </w:tcPr>
          <w:p w14:paraId="61F701F7" w14:textId="77777777" w:rsidR="000F16C4" w:rsidRDefault="000F16C4" w:rsidP="000972AF">
            <w:pPr>
              <w:widowControl w:val="0"/>
              <w:autoSpaceDE w:val="0"/>
              <w:autoSpaceDN w:val="0"/>
              <w:adjustRightInd w:val="0"/>
              <w:spacing w:after="0" w:line="240" w:lineRule="auto"/>
              <w:jc w:val="center"/>
              <w:rPr>
                <w:szCs w:val="24"/>
              </w:rPr>
            </w:pPr>
            <w:r>
              <w:rPr>
                <w:szCs w:val="24"/>
              </w:rPr>
              <w:t>(0.11)</w:t>
            </w:r>
          </w:p>
        </w:tc>
        <w:tc>
          <w:tcPr>
            <w:tcW w:w="819" w:type="pct"/>
            <w:tcBorders>
              <w:top w:val="nil"/>
              <w:left w:val="nil"/>
              <w:bottom w:val="nil"/>
              <w:right w:val="nil"/>
            </w:tcBorders>
          </w:tcPr>
          <w:p w14:paraId="5C133E8A" w14:textId="77777777" w:rsidR="000F16C4" w:rsidRDefault="000F16C4" w:rsidP="000972AF">
            <w:pPr>
              <w:widowControl w:val="0"/>
              <w:autoSpaceDE w:val="0"/>
              <w:autoSpaceDN w:val="0"/>
              <w:adjustRightInd w:val="0"/>
              <w:spacing w:after="0" w:line="240" w:lineRule="auto"/>
              <w:jc w:val="center"/>
              <w:rPr>
                <w:szCs w:val="24"/>
              </w:rPr>
            </w:pPr>
            <w:r>
              <w:rPr>
                <w:szCs w:val="24"/>
              </w:rPr>
              <w:t>(0.13)</w:t>
            </w:r>
          </w:p>
        </w:tc>
        <w:tc>
          <w:tcPr>
            <w:tcW w:w="596" w:type="pct"/>
            <w:tcBorders>
              <w:top w:val="nil"/>
              <w:left w:val="nil"/>
              <w:bottom w:val="nil"/>
              <w:right w:val="nil"/>
            </w:tcBorders>
          </w:tcPr>
          <w:p w14:paraId="69531DDB" w14:textId="77777777" w:rsidR="000F16C4" w:rsidRDefault="000F16C4" w:rsidP="000972AF">
            <w:pPr>
              <w:widowControl w:val="0"/>
              <w:autoSpaceDE w:val="0"/>
              <w:autoSpaceDN w:val="0"/>
              <w:adjustRightInd w:val="0"/>
              <w:spacing w:after="0" w:line="240" w:lineRule="auto"/>
              <w:jc w:val="center"/>
              <w:rPr>
                <w:szCs w:val="24"/>
              </w:rPr>
            </w:pPr>
            <w:r>
              <w:rPr>
                <w:szCs w:val="24"/>
              </w:rPr>
              <w:t>(0.09)</w:t>
            </w:r>
          </w:p>
        </w:tc>
        <w:tc>
          <w:tcPr>
            <w:tcW w:w="792" w:type="pct"/>
            <w:tcBorders>
              <w:top w:val="nil"/>
              <w:left w:val="nil"/>
              <w:bottom w:val="nil"/>
              <w:right w:val="nil"/>
            </w:tcBorders>
          </w:tcPr>
          <w:p w14:paraId="34AD3FB6" w14:textId="77777777" w:rsidR="000F16C4" w:rsidRDefault="000F16C4" w:rsidP="000972AF">
            <w:pPr>
              <w:widowControl w:val="0"/>
              <w:autoSpaceDE w:val="0"/>
              <w:autoSpaceDN w:val="0"/>
              <w:adjustRightInd w:val="0"/>
              <w:spacing w:after="0" w:line="240" w:lineRule="auto"/>
              <w:jc w:val="center"/>
              <w:rPr>
                <w:szCs w:val="24"/>
              </w:rPr>
            </w:pPr>
            <w:r>
              <w:rPr>
                <w:szCs w:val="24"/>
              </w:rPr>
              <w:t>(0.10)</w:t>
            </w:r>
          </w:p>
        </w:tc>
        <w:tc>
          <w:tcPr>
            <w:tcW w:w="596" w:type="pct"/>
            <w:tcBorders>
              <w:top w:val="nil"/>
              <w:left w:val="nil"/>
              <w:bottom w:val="nil"/>
              <w:right w:val="nil"/>
            </w:tcBorders>
          </w:tcPr>
          <w:p w14:paraId="75720B32" w14:textId="77777777" w:rsidR="000F16C4" w:rsidRDefault="000F16C4" w:rsidP="000972AF">
            <w:pPr>
              <w:widowControl w:val="0"/>
              <w:autoSpaceDE w:val="0"/>
              <w:autoSpaceDN w:val="0"/>
              <w:adjustRightInd w:val="0"/>
              <w:spacing w:after="0" w:line="240" w:lineRule="auto"/>
              <w:jc w:val="center"/>
              <w:rPr>
                <w:szCs w:val="24"/>
              </w:rPr>
            </w:pPr>
            <w:r>
              <w:rPr>
                <w:szCs w:val="24"/>
              </w:rPr>
              <w:t>(0.10)</w:t>
            </w:r>
          </w:p>
        </w:tc>
      </w:tr>
      <w:tr w:rsidR="000F16C4" w14:paraId="2755166B" w14:textId="77777777" w:rsidTr="000972AF">
        <w:trPr>
          <w:jc w:val="center"/>
        </w:trPr>
        <w:tc>
          <w:tcPr>
            <w:tcW w:w="1601" w:type="pct"/>
            <w:tcBorders>
              <w:top w:val="nil"/>
              <w:left w:val="nil"/>
              <w:bottom w:val="nil"/>
              <w:right w:val="nil"/>
            </w:tcBorders>
          </w:tcPr>
          <w:p w14:paraId="18944036" w14:textId="77777777" w:rsidR="000F16C4" w:rsidRDefault="000F16C4" w:rsidP="000972AF">
            <w:pPr>
              <w:widowControl w:val="0"/>
              <w:autoSpaceDE w:val="0"/>
              <w:autoSpaceDN w:val="0"/>
              <w:adjustRightInd w:val="0"/>
              <w:spacing w:after="0" w:line="240" w:lineRule="auto"/>
              <w:rPr>
                <w:szCs w:val="24"/>
              </w:rPr>
            </w:pPr>
            <w:r>
              <w:rPr>
                <w:szCs w:val="24"/>
              </w:rPr>
              <w:t>Medium city</w:t>
            </w:r>
          </w:p>
        </w:tc>
        <w:tc>
          <w:tcPr>
            <w:tcW w:w="596" w:type="pct"/>
            <w:tcBorders>
              <w:top w:val="nil"/>
              <w:left w:val="nil"/>
              <w:bottom w:val="nil"/>
              <w:right w:val="nil"/>
            </w:tcBorders>
          </w:tcPr>
          <w:p w14:paraId="0A7028B1" w14:textId="77777777" w:rsidR="000F16C4" w:rsidRDefault="000F16C4" w:rsidP="000972AF">
            <w:pPr>
              <w:widowControl w:val="0"/>
              <w:autoSpaceDE w:val="0"/>
              <w:autoSpaceDN w:val="0"/>
              <w:adjustRightInd w:val="0"/>
              <w:spacing w:after="0" w:line="240" w:lineRule="auto"/>
              <w:jc w:val="center"/>
              <w:rPr>
                <w:szCs w:val="24"/>
              </w:rPr>
            </w:pPr>
            <w:r>
              <w:rPr>
                <w:szCs w:val="24"/>
              </w:rPr>
              <w:t>1.17</w:t>
            </w:r>
          </w:p>
        </w:tc>
        <w:tc>
          <w:tcPr>
            <w:tcW w:w="819" w:type="pct"/>
            <w:tcBorders>
              <w:top w:val="nil"/>
              <w:left w:val="nil"/>
              <w:bottom w:val="nil"/>
              <w:right w:val="nil"/>
            </w:tcBorders>
          </w:tcPr>
          <w:p w14:paraId="0BD5D64F" w14:textId="77777777" w:rsidR="000F16C4" w:rsidRDefault="000F16C4" w:rsidP="000972AF">
            <w:pPr>
              <w:widowControl w:val="0"/>
              <w:autoSpaceDE w:val="0"/>
              <w:autoSpaceDN w:val="0"/>
              <w:adjustRightInd w:val="0"/>
              <w:spacing w:after="0" w:line="240" w:lineRule="auto"/>
              <w:jc w:val="center"/>
              <w:rPr>
                <w:szCs w:val="24"/>
              </w:rPr>
            </w:pPr>
            <w:r>
              <w:rPr>
                <w:szCs w:val="24"/>
              </w:rPr>
              <w:t>1.20</w:t>
            </w:r>
          </w:p>
        </w:tc>
        <w:tc>
          <w:tcPr>
            <w:tcW w:w="596" w:type="pct"/>
            <w:tcBorders>
              <w:top w:val="nil"/>
              <w:left w:val="nil"/>
              <w:bottom w:val="nil"/>
              <w:right w:val="nil"/>
            </w:tcBorders>
          </w:tcPr>
          <w:p w14:paraId="258B5D88" w14:textId="77777777" w:rsidR="000F16C4" w:rsidRDefault="000F16C4" w:rsidP="000972AF">
            <w:pPr>
              <w:widowControl w:val="0"/>
              <w:autoSpaceDE w:val="0"/>
              <w:autoSpaceDN w:val="0"/>
              <w:adjustRightInd w:val="0"/>
              <w:spacing w:after="0" w:line="240" w:lineRule="auto"/>
              <w:jc w:val="center"/>
              <w:rPr>
                <w:szCs w:val="24"/>
              </w:rPr>
            </w:pPr>
            <w:r>
              <w:rPr>
                <w:szCs w:val="24"/>
              </w:rPr>
              <w:t>1.03</w:t>
            </w:r>
          </w:p>
        </w:tc>
        <w:tc>
          <w:tcPr>
            <w:tcW w:w="792" w:type="pct"/>
            <w:tcBorders>
              <w:top w:val="nil"/>
              <w:left w:val="nil"/>
              <w:bottom w:val="nil"/>
              <w:right w:val="nil"/>
            </w:tcBorders>
          </w:tcPr>
          <w:p w14:paraId="6E8FF329" w14:textId="77777777" w:rsidR="000F16C4" w:rsidRDefault="000F16C4" w:rsidP="000972AF">
            <w:pPr>
              <w:widowControl w:val="0"/>
              <w:autoSpaceDE w:val="0"/>
              <w:autoSpaceDN w:val="0"/>
              <w:adjustRightInd w:val="0"/>
              <w:spacing w:after="0" w:line="240" w:lineRule="auto"/>
              <w:jc w:val="center"/>
              <w:rPr>
                <w:szCs w:val="24"/>
              </w:rPr>
            </w:pPr>
            <w:r>
              <w:rPr>
                <w:szCs w:val="24"/>
              </w:rPr>
              <w:t>1.06</w:t>
            </w:r>
          </w:p>
        </w:tc>
        <w:tc>
          <w:tcPr>
            <w:tcW w:w="596" w:type="pct"/>
            <w:tcBorders>
              <w:top w:val="nil"/>
              <w:left w:val="nil"/>
              <w:bottom w:val="nil"/>
              <w:right w:val="nil"/>
            </w:tcBorders>
          </w:tcPr>
          <w:p w14:paraId="2370540C" w14:textId="77777777" w:rsidR="000F16C4" w:rsidRDefault="000F16C4" w:rsidP="000972AF">
            <w:pPr>
              <w:widowControl w:val="0"/>
              <w:autoSpaceDE w:val="0"/>
              <w:autoSpaceDN w:val="0"/>
              <w:adjustRightInd w:val="0"/>
              <w:spacing w:after="0" w:line="240" w:lineRule="auto"/>
              <w:jc w:val="center"/>
              <w:rPr>
                <w:szCs w:val="24"/>
              </w:rPr>
            </w:pPr>
            <w:r>
              <w:rPr>
                <w:szCs w:val="24"/>
              </w:rPr>
              <w:t>1.01</w:t>
            </w:r>
          </w:p>
        </w:tc>
      </w:tr>
      <w:tr w:rsidR="000F16C4" w14:paraId="38480CE4" w14:textId="77777777" w:rsidTr="000972AF">
        <w:trPr>
          <w:jc w:val="center"/>
        </w:trPr>
        <w:tc>
          <w:tcPr>
            <w:tcW w:w="1601" w:type="pct"/>
            <w:tcBorders>
              <w:top w:val="nil"/>
              <w:left w:val="nil"/>
              <w:bottom w:val="nil"/>
              <w:right w:val="nil"/>
            </w:tcBorders>
          </w:tcPr>
          <w:p w14:paraId="0649DA58" w14:textId="77777777" w:rsidR="000F16C4" w:rsidRDefault="000F16C4" w:rsidP="000972AF">
            <w:pPr>
              <w:widowControl w:val="0"/>
              <w:autoSpaceDE w:val="0"/>
              <w:autoSpaceDN w:val="0"/>
              <w:adjustRightInd w:val="0"/>
              <w:spacing w:after="0" w:line="240" w:lineRule="auto"/>
              <w:rPr>
                <w:szCs w:val="24"/>
              </w:rPr>
            </w:pPr>
          </w:p>
        </w:tc>
        <w:tc>
          <w:tcPr>
            <w:tcW w:w="596" w:type="pct"/>
            <w:tcBorders>
              <w:top w:val="nil"/>
              <w:left w:val="nil"/>
              <w:bottom w:val="nil"/>
              <w:right w:val="nil"/>
            </w:tcBorders>
          </w:tcPr>
          <w:p w14:paraId="5A4A22C8" w14:textId="77777777" w:rsidR="000F16C4" w:rsidRDefault="000F16C4" w:rsidP="000972AF">
            <w:pPr>
              <w:widowControl w:val="0"/>
              <w:autoSpaceDE w:val="0"/>
              <w:autoSpaceDN w:val="0"/>
              <w:adjustRightInd w:val="0"/>
              <w:spacing w:after="0" w:line="240" w:lineRule="auto"/>
              <w:jc w:val="center"/>
              <w:rPr>
                <w:szCs w:val="24"/>
              </w:rPr>
            </w:pPr>
            <w:r>
              <w:rPr>
                <w:szCs w:val="24"/>
              </w:rPr>
              <w:t>(0.13)</w:t>
            </w:r>
          </w:p>
        </w:tc>
        <w:tc>
          <w:tcPr>
            <w:tcW w:w="819" w:type="pct"/>
            <w:tcBorders>
              <w:top w:val="nil"/>
              <w:left w:val="nil"/>
              <w:bottom w:val="nil"/>
              <w:right w:val="nil"/>
            </w:tcBorders>
          </w:tcPr>
          <w:p w14:paraId="69253110" w14:textId="77777777" w:rsidR="000F16C4" w:rsidRDefault="000F16C4" w:rsidP="000972AF">
            <w:pPr>
              <w:widowControl w:val="0"/>
              <w:autoSpaceDE w:val="0"/>
              <w:autoSpaceDN w:val="0"/>
              <w:adjustRightInd w:val="0"/>
              <w:spacing w:after="0" w:line="240" w:lineRule="auto"/>
              <w:jc w:val="center"/>
              <w:rPr>
                <w:szCs w:val="24"/>
              </w:rPr>
            </w:pPr>
            <w:r>
              <w:rPr>
                <w:szCs w:val="24"/>
              </w:rPr>
              <w:t>(0.15)</w:t>
            </w:r>
          </w:p>
        </w:tc>
        <w:tc>
          <w:tcPr>
            <w:tcW w:w="596" w:type="pct"/>
            <w:tcBorders>
              <w:top w:val="nil"/>
              <w:left w:val="nil"/>
              <w:bottom w:val="nil"/>
              <w:right w:val="nil"/>
            </w:tcBorders>
          </w:tcPr>
          <w:p w14:paraId="52D82DEB" w14:textId="77777777" w:rsidR="000F16C4" w:rsidRDefault="000F16C4" w:rsidP="000972AF">
            <w:pPr>
              <w:widowControl w:val="0"/>
              <w:autoSpaceDE w:val="0"/>
              <w:autoSpaceDN w:val="0"/>
              <w:adjustRightInd w:val="0"/>
              <w:spacing w:after="0" w:line="240" w:lineRule="auto"/>
              <w:jc w:val="center"/>
              <w:rPr>
                <w:szCs w:val="24"/>
              </w:rPr>
            </w:pPr>
            <w:r>
              <w:rPr>
                <w:szCs w:val="24"/>
              </w:rPr>
              <w:t>(0.11)</w:t>
            </w:r>
          </w:p>
        </w:tc>
        <w:tc>
          <w:tcPr>
            <w:tcW w:w="792" w:type="pct"/>
            <w:tcBorders>
              <w:top w:val="nil"/>
              <w:left w:val="nil"/>
              <w:bottom w:val="nil"/>
              <w:right w:val="nil"/>
            </w:tcBorders>
          </w:tcPr>
          <w:p w14:paraId="4A667AEB" w14:textId="77777777" w:rsidR="000F16C4" w:rsidRDefault="000F16C4" w:rsidP="000972AF">
            <w:pPr>
              <w:widowControl w:val="0"/>
              <w:autoSpaceDE w:val="0"/>
              <w:autoSpaceDN w:val="0"/>
              <w:adjustRightInd w:val="0"/>
              <w:spacing w:after="0" w:line="240" w:lineRule="auto"/>
              <w:jc w:val="center"/>
              <w:rPr>
                <w:szCs w:val="24"/>
              </w:rPr>
            </w:pPr>
            <w:r>
              <w:rPr>
                <w:szCs w:val="24"/>
              </w:rPr>
              <w:t>(0.12)</w:t>
            </w:r>
          </w:p>
        </w:tc>
        <w:tc>
          <w:tcPr>
            <w:tcW w:w="596" w:type="pct"/>
            <w:tcBorders>
              <w:top w:val="nil"/>
              <w:left w:val="nil"/>
              <w:bottom w:val="nil"/>
              <w:right w:val="nil"/>
            </w:tcBorders>
          </w:tcPr>
          <w:p w14:paraId="58866E73" w14:textId="77777777" w:rsidR="000F16C4" w:rsidRDefault="000F16C4" w:rsidP="000972AF">
            <w:pPr>
              <w:widowControl w:val="0"/>
              <w:autoSpaceDE w:val="0"/>
              <w:autoSpaceDN w:val="0"/>
              <w:adjustRightInd w:val="0"/>
              <w:spacing w:after="0" w:line="240" w:lineRule="auto"/>
              <w:jc w:val="center"/>
              <w:rPr>
                <w:szCs w:val="24"/>
              </w:rPr>
            </w:pPr>
            <w:r>
              <w:rPr>
                <w:szCs w:val="24"/>
              </w:rPr>
              <w:t>(0.11)</w:t>
            </w:r>
          </w:p>
        </w:tc>
      </w:tr>
      <w:tr w:rsidR="000F16C4" w14:paraId="4C795F0F" w14:textId="77777777" w:rsidTr="000972AF">
        <w:trPr>
          <w:jc w:val="center"/>
        </w:trPr>
        <w:tc>
          <w:tcPr>
            <w:tcW w:w="1601" w:type="pct"/>
            <w:tcBorders>
              <w:top w:val="nil"/>
              <w:left w:val="nil"/>
              <w:bottom w:val="nil"/>
              <w:right w:val="nil"/>
            </w:tcBorders>
          </w:tcPr>
          <w:p w14:paraId="3F235BDF" w14:textId="77777777" w:rsidR="000F16C4" w:rsidRDefault="000F16C4" w:rsidP="000972AF">
            <w:pPr>
              <w:widowControl w:val="0"/>
              <w:autoSpaceDE w:val="0"/>
              <w:autoSpaceDN w:val="0"/>
              <w:adjustRightInd w:val="0"/>
              <w:spacing w:after="0" w:line="240" w:lineRule="auto"/>
              <w:rPr>
                <w:szCs w:val="24"/>
              </w:rPr>
            </w:pPr>
            <w:r>
              <w:rPr>
                <w:szCs w:val="24"/>
              </w:rPr>
              <w:t>Big city</w:t>
            </w:r>
          </w:p>
        </w:tc>
        <w:tc>
          <w:tcPr>
            <w:tcW w:w="596" w:type="pct"/>
            <w:tcBorders>
              <w:top w:val="nil"/>
              <w:left w:val="nil"/>
              <w:bottom w:val="nil"/>
              <w:right w:val="nil"/>
            </w:tcBorders>
          </w:tcPr>
          <w:p w14:paraId="4A885A12" w14:textId="77777777" w:rsidR="000F16C4" w:rsidRDefault="000F16C4" w:rsidP="000972AF">
            <w:pPr>
              <w:widowControl w:val="0"/>
              <w:autoSpaceDE w:val="0"/>
              <w:autoSpaceDN w:val="0"/>
              <w:adjustRightInd w:val="0"/>
              <w:spacing w:after="0" w:line="240" w:lineRule="auto"/>
              <w:jc w:val="center"/>
              <w:rPr>
                <w:szCs w:val="24"/>
              </w:rPr>
            </w:pPr>
            <w:r>
              <w:rPr>
                <w:szCs w:val="24"/>
              </w:rPr>
              <w:t>1.22+</w:t>
            </w:r>
          </w:p>
        </w:tc>
        <w:tc>
          <w:tcPr>
            <w:tcW w:w="819" w:type="pct"/>
            <w:tcBorders>
              <w:top w:val="nil"/>
              <w:left w:val="nil"/>
              <w:bottom w:val="nil"/>
              <w:right w:val="nil"/>
            </w:tcBorders>
          </w:tcPr>
          <w:p w14:paraId="6BF43921" w14:textId="77777777" w:rsidR="000F16C4" w:rsidRDefault="000F16C4" w:rsidP="000972AF">
            <w:pPr>
              <w:widowControl w:val="0"/>
              <w:autoSpaceDE w:val="0"/>
              <w:autoSpaceDN w:val="0"/>
              <w:adjustRightInd w:val="0"/>
              <w:spacing w:after="0" w:line="240" w:lineRule="auto"/>
              <w:jc w:val="center"/>
              <w:rPr>
                <w:szCs w:val="24"/>
              </w:rPr>
            </w:pPr>
            <w:r>
              <w:rPr>
                <w:szCs w:val="24"/>
              </w:rPr>
              <w:t>1.27+</w:t>
            </w:r>
          </w:p>
        </w:tc>
        <w:tc>
          <w:tcPr>
            <w:tcW w:w="596" w:type="pct"/>
            <w:tcBorders>
              <w:top w:val="nil"/>
              <w:left w:val="nil"/>
              <w:bottom w:val="nil"/>
              <w:right w:val="nil"/>
            </w:tcBorders>
          </w:tcPr>
          <w:p w14:paraId="1340A9F7" w14:textId="77777777" w:rsidR="000F16C4" w:rsidRDefault="000F16C4" w:rsidP="000972AF">
            <w:pPr>
              <w:widowControl w:val="0"/>
              <w:autoSpaceDE w:val="0"/>
              <w:autoSpaceDN w:val="0"/>
              <w:adjustRightInd w:val="0"/>
              <w:spacing w:after="0" w:line="240" w:lineRule="auto"/>
              <w:jc w:val="center"/>
              <w:rPr>
                <w:szCs w:val="24"/>
              </w:rPr>
            </w:pPr>
            <w:r>
              <w:rPr>
                <w:szCs w:val="24"/>
              </w:rPr>
              <w:t>0.89</w:t>
            </w:r>
          </w:p>
        </w:tc>
        <w:tc>
          <w:tcPr>
            <w:tcW w:w="792" w:type="pct"/>
            <w:tcBorders>
              <w:top w:val="nil"/>
              <w:left w:val="nil"/>
              <w:bottom w:val="nil"/>
              <w:right w:val="nil"/>
            </w:tcBorders>
          </w:tcPr>
          <w:p w14:paraId="32C52FB0" w14:textId="77777777" w:rsidR="000F16C4" w:rsidRDefault="000F16C4" w:rsidP="000972AF">
            <w:pPr>
              <w:widowControl w:val="0"/>
              <w:autoSpaceDE w:val="0"/>
              <w:autoSpaceDN w:val="0"/>
              <w:adjustRightInd w:val="0"/>
              <w:spacing w:after="0" w:line="240" w:lineRule="auto"/>
              <w:jc w:val="center"/>
              <w:rPr>
                <w:szCs w:val="24"/>
              </w:rPr>
            </w:pPr>
            <w:r>
              <w:rPr>
                <w:szCs w:val="24"/>
              </w:rPr>
              <w:t>0.92</w:t>
            </w:r>
          </w:p>
        </w:tc>
        <w:tc>
          <w:tcPr>
            <w:tcW w:w="596" w:type="pct"/>
            <w:tcBorders>
              <w:top w:val="nil"/>
              <w:left w:val="nil"/>
              <w:bottom w:val="nil"/>
              <w:right w:val="nil"/>
            </w:tcBorders>
          </w:tcPr>
          <w:p w14:paraId="51C34D4D" w14:textId="77777777" w:rsidR="000F16C4" w:rsidRDefault="000F16C4" w:rsidP="000972AF">
            <w:pPr>
              <w:widowControl w:val="0"/>
              <w:autoSpaceDE w:val="0"/>
              <w:autoSpaceDN w:val="0"/>
              <w:adjustRightInd w:val="0"/>
              <w:spacing w:after="0" w:line="240" w:lineRule="auto"/>
              <w:jc w:val="center"/>
              <w:rPr>
                <w:szCs w:val="24"/>
              </w:rPr>
            </w:pPr>
            <w:r>
              <w:rPr>
                <w:szCs w:val="24"/>
              </w:rPr>
              <w:t>1.02</w:t>
            </w:r>
          </w:p>
        </w:tc>
      </w:tr>
      <w:tr w:rsidR="000F16C4" w14:paraId="175F3E2A" w14:textId="77777777" w:rsidTr="000972AF">
        <w:trPr>
          <w:jc w:val="center"/>
        </w:trPr>
        <w:tc>
          <w:tcPr>
            <w:tcW w:w="1601" w:type="pct"/>
            <w:tcBorders>
              <w:top w:val="nil"/>
              <w:left w:val="nil"/>
              <w:bottom w:val="nil"/>
              <w:right w:val="nil"/>
            </w:tcBorders>
          </w:tcPr>
          <w:p w14:paraId="6740A55A" w14:textId="77777777" w:rsidR="000F16C4" w:rsidRDefault="000F16C4" w:rsidP="000972AF">
            <w:pPr>
              <w:widowControl w:val="0"/>
              <w:autoSpaceDE w:val="0"/>
              <w:autoSpaceDN w:val="0"/>
              <w:adjustRightInd w:val="0"/>
              <w:spacing w:after="0" w:line="240" w:lineRule="auto"/>
              <w:rPr>
                <w:szCs w:val="24"/>
              </w:rPr>
            </w:pPr>
          </w:p>
        </w:tc>
        <w:tc>
          <w:tcPr>
            <w:tcW w:w="596" w:type="pct"/>
            <w:tcBorders>
              <w:top w:val="nil"/>
              <w:left w:val="nil"/>
              <w:bottom w:val="nil"/>
              <w:right w:val="nil"/>
            </w:tcBorders>
          </w:tcPr>
          <w:p w14:paraId="361464E8" w14:textId="77777777" w:rsidR="000F16C4" w:rsidRDefault="000F16C4" w:rsidP="000972AF">
            <w:pPr>
              <w:widowControl w:val="0"/>
              <w:autoSpaceDE w:val="0"/>
              <w:autoSpaceDN w:val="0"/>
              <w:adjustRightInd w:val="0"/>
              <w:spacing w:after="0" w:line="240" w:lineRule="auto"/>
              <w:jc w:val="center"/>
              <w:rPr>
                <w:szCs w:val="24"/>
              </w:rPr>
            </w:pPr>
            <w:r>
              <w:rPr>
                <w:szCs w:val="24"/>
              </w:rPr>
              <w:t>(0.14)</w:t>
            </w:r>
          </w:p>
        </w:tc>
        <w:tc>
          <w:tcPr>
            <w:tcW w:w="819" w:type="pct"/>
            <w:tcBorders>
              <w:top w:val="nil"/>
              <w:left w:val="nil"/>
              <w:bottom w:val="nil"/>
              <w:right w:val="nil"/>
            </w:tcBorders>
          </w:tcPr>
          <w:p w14:paraId="476FF1BF" w14:textId="77777777" w:rsidR="000F16C4" w:rsidRDefault="000F16C4" w:rsidP="000972AF">
            <w:pPr>
              <w:widowControl w:val="0"/>
              <w:autoSpaceDE w:val="0"/>
              <w:autoSpaceDN w:val="0"/>
              <w:adjustRightInd w:val="0"/>
              <w:spacing w:after="0" w:line="240" w:lineRule="auto"/>
              <w:jc w:val="center"/>
              <w:rPr>
                <w:szCs w:val="24"/>
              </w:rPr>
            </w:pPr>
            <w:r>
              <w:rPr>
                <w:szCs w:val="24"/>
              </w:rPr>
              <w:t>(0.16)</w:t>
            </w:r>
          </w:p>
        </w:tc>
        <w:tc>
          <w:tcPr>
            <w:tcW w:w="596" w:type="pct"/>
            <w:tcBorders>
              <w:top w:val="nil"/>
              <w:left w:val="nil"/>
              <w:bottom w:val="nil"/>
              <w:right w:val="nil"/>
            </w:tcBorders>
          </w:tcPr>
          <w:p w14:paraId="2C9A0195" w14:textId="77777777" w:rsidR="000F16C4" w:rsidRDefault="000F16C4" w:rsidP="000972AF">
            <w:pPr>
              <w:widowControl w:val="0"/>
              <w:autoSpaceDE w:val="0"/>
              <w:autoSpaceDN w:val="0"/>
              <w:adjustRightInd w:val="0"/>
              <w:spacing w:after="0" w:line="240" w:lineRule="auto"/>
              <w:jc w:val="center"/>
              <w:rPr>
                <w:szCs w:val="24"/>
              </w:rPr>
            </w:pPr>
            <w:r>
              <w:rPr>
                <w:szCs w:val="24"/>
              </w:rPr>
              <w:t>(0.10)</w:t>
            </w:r>
          </w:p>
        </w:tc>
        <w:tc>
          <w:tcPr>
            <w:tcW w:w="792" w:type="pct"/>
            <w:tcBorders>
              <w:top w:val="nil"/>
              <w:left w:val="nil"/>
              <w:bottom w:val="nil"/>
              <w:right w:val="nil"/>
            </w:tcBorders>
          </w:tcPr>
          <w:p w14:paraId="2B3B78C3" w14:textId="77777777" w:rsidR="000F16C4" w:rsidRDefault="000F16C4" w:rsidP="000972AF">
            <w:pPr>
              <w:widowControl w:val="0"/>
              <w:autoSpaceDE w:val="0"/>
              <w:autoSpaceDN w:val="0"/>
              <w:adjustRightInd w:val="0"/>
              <w:spacing w:after="0" w:line="240" w:lineRule="auto"/>
              <w:jc w:val="center"/>
              <w:rPr>
                <w:szCs w:val="24"/>
              </w:rPr>
            </w:pPr>
            <w:r>
              <w:rPr>
                <w:szCs w:val="24"/>
              </w:rPr>
              <w:t>(0.11)</w:t>
            </w:r>
          </w:p>
        </w:tc>
        <w:tc>
          <w:tcPr>
            <w:tcW w:w="596" w:type="pct"/>
            <w:tcBorders>
              <w:top w:val="nil"/>
              <w:left w:val="nil"/>
              <w:bottom w:val="nil"/>
              <w:right w:val="nil"/>
            </w:tcBorders>
          </w:tcPr>
          <w:p w14:paraId="23949D32" w14:textId="77777777" w:rsidR="000F16C4" w:rsidRDefault="000F16C4" w:rsidP="000972AF">
            <w:pPr>
              <w:widowControl w:val="0"/>
              <w:autoSpaceDE w:val="0"/>
              <w:autoSpaceDN w:val="0"/>
              <w:adjustRightInd w:val="0"/>
              <w:spacing w:after="0" w:line="240" w:lineRule="auto"/>
              <w:jc w:val="center"/>
              <w:rPr>
                <w:szCs w:val="24"/>
              </w:rPr>
            </w:pPr>
            <w:r>
              <w:rPr>
                <w:szCs w:val="24"/>
              </w:rPr>
              <w:t>(0.11)</w:t>
            </w:r>
          </w:p>
        </w:tc>
      </w:tr>
      <w:tr w:rsidR="000F16C4" w14:paraId="05B95840" w14:textId="77777777" w:rsidTr="000972AF">
        <w:trPr>
          <w:jc w:val="center"/>
        </w:trPr>
        <w:tc>
          <w:tcPr>
            <w:tcW w:w="1601" w:type="pct"/>
            <w:tcBorders>
              <w:top w:val="nil"/>
              <w:left w:val="nil"/>
              <w:bottom w:val="nil"/>
              <w:right w:val="nil"/>
            </w:tcBorders>
          </w:tcPr>
          <w:p w14:paraId="3BE0912C" w14:textId="77777777" w:rsidR="000F16C4" w:rsidRDefault="000F16C4" w:rsidP="000972AF">
            <w:pPr>
              <w:widowControl w:val="0"/>
              <w:autoSpaceDE w:val="0"/>
              <w:autoSpaceDN w:val="0"/>
              <w:adjustRightInd w:val="0"/>
              <w:spacing w:after="0" w:line="240" w:lineRule="auto"/>
              <w:rPr>
                <w:szCs w:val="24"/>
              </w:rPr>
            </w:pPr>
            <w:r>
              <w:rPr>
                <w:szCs w:val="24"/>
              </w:rPr>
              <w:t>Reg.partners*Small city</w:t>
            </w:r>
          </w:p>
        </w:tc>
        <w:tc>
          <w:tcPr>
            <w:tcW w:w="596" w:type="pct"/>
            <w:tcBorders>
              <w:top w:val="nil"/>
              <w:left w:val="nil"/>
              <w:bottom w:val="nil"/>
              <w:right w:val="nil"/>
            </w:tcBorders>
          </w:tcPr>
          <w:p w14:paraId="312E1C80" w14:textId="77777777" w:rsidR="000F16C4" w:rsidRDefault="000F16C4" w:rsidP="000972AF">
            <w:pPr>
              <w:widowControl w:val="0"/>
              <w:autoSpaceDE w:val="0"/>
              <w:autoSpaceDN w:val="0"/>
              <w:adjustRightInd w:val="0"/>
              <w:spacing w:after="0" w:line="240" w:lineRule="auto"/>
              <w:jc w:val="center"/>
              <w:rPr>
                <w:szCs w:val="24"/>
              </w:rPr>
            </w:pPr>
            <w:r>
              <w:rPr>
                <w:szCs w:val="24"/>
              </w:rPr>
              <w:t>0.85*</w:t>
            </w:r>
          </w:p>
        </w:tc>
        <w:tc>
          <w:tcPr>
            <w:tcW w:w="819" w:type="pct"/>
            <w:tcBorders>
              <w:top w:val="nil"/>
              <w:left w:val="nil"/>
              <w:bottom w:val="nil"/>
              <w:right w:val="nil"/>
            </w:tcBorders>
          </w:tcPr>
          <w:p w14:paraId="51083A55" w14:textId="77777777" w:rsidR="000F16C4" w:rsidRDefault="000F16C4" w:rsidP="000972AF">
            <w:pPr>
              <w:widowControl w:val="0"/>
              <w:autoSpaceDE w:val="0"/>
              <w:autoSpaceDN w:val="0"/>
              <w:adjustRightInd w:val="0"/>
              <w:spacing w:after="0" w:line="240" w:lineRule="auto"/>
              <w:jc w:val="center"/>
              <w:rPr>
                <w:szCs w:val="24"/>
              </w:rPr>
            </w:pPr>
            <w:r>
              <w:rPr>
                <w:szCs w:val="24"/>
              </w:rPr>
              <w:t>0.82*</w:t>
            </w:r>
          </w:p>
        </w:tc>
        <w:tc>
          <w:tcPr>
            <w:tcW w:w="596" w:type="pct"/>
            <w:tcBorders>
              <w:top w:val="nil"/>
              <w:left w:val="nil"/>
              <w:bottom w:val="nil"/>
              <w:right w:val="nil"/>
            </w:tcBorders>
          </w:tcPr>
          <w:p w14:paraId="43B2B4EE" w14:textId="77777777" w:rsidR="000F16C4" w:rsidRDefault="000F16C4" w:rsidP="000972AF">
            <w:pPr>
              <w:widowControl w:val="0"/>
              <w:autoSpaceDE w:val="0"/>
              <w:autoSpaceDN w:val="0"/>
              <w:adjustRightInd w:val="0"/>
              <w:spacing w:after="0" w:line="240" w:lineRule="auto"/>
              <w:jc w:val="center"/>
              <w:rPr>
                <w:szCs w:val="24"/>
              </w:rPr>
            </w:pPr>
            <w:r>
              <w:rPr>
                <w:szCs w:val="24"/>
              </w:rPr>
              <w:t>0.91</w:t>
            </w:r>
          </w:p>
        </w:tc>
        <w:tc>
          <w:tcPr>
            <w:tcW w:w="792" w:type="pct"/>
            <w:tcBorders>
              <w:top w:val="nil"/>
              <w:left w:val="nil"/>
              <w:bottom w:val="nil"/>
              <w:right w:val="nil"/>
            </w:tcBorders>
          </w:tcPr>
          <w:p w14:paraId="39D3F770" w14:textId="77777777" w:rsidR="000F16C4" w:rsidRDefault="000F16C4" w:rsidP="000972AF">
            <w:pPr>
              <w:widowControl w:val="0"/>
              <w:autoSpaceDE w:val="0"/>
              <w:autoSpaceDN w:val="0"/>
              <w:adjustRightInd w:val="0"/>
              <w:spacing w:after="0" w:line="240" w:lineRule="auto"/>
              <w:jc w:val="center"/>
              <w:rPr>
                <w:szCs w:val="24"/>
              </w:rPr>
            </w:pPr>
            <w:r>
              <w:rPr>
                <w:szCs w:val="24"/>
              </w:rPr>
              <w:t>0.98</w:t>
            </w:r>
          </w:p>
        </w:tc>
        <w:tc>
          <w:tcPr>
            <w:tcW w:w="596" w:type="pct"/>
            <w:tcBorders>
              <w:top w:val="nil"/>
              <w:left w:val="nil"/>
              <w:bottom w:val="nil"/>
              <w:right w:val="nil"/>
            </w:tcBorders>
          </w:tcPr>
          <w:p w14:paraId="13C84986" w14:textId="77777777" w:rsidR="000F16C4" w:rsidRDefault="000F16C4" w:rsidP="000972AF">
            <w:pPr>
              <w:widowControl w:val="0"/>
              <w:autoSpaceDE w:val="0"/>
              <w:autoSpaceDN w:val="0"/>
              <w:adjustRightInd w:val="0"/>
              <w:spacing w:after="0" w:line="240" w:lineRule="auto"/>
              <w:jc w:val="center"/>
              <w:rPr>
                <w:szCs w:val="24"/>
              </w:rPr>
            </w:pPr>
            <w:r>
              <w:rPr>
                <w:szCs w:val="24"/>
              </w:rPr>
              <w:t>0.90</w:t>
            </w:r>
          </w:p>
        </w:tc>
      </w:tr>
      <w:tr w:rsidR="000F16C4" w14:paraId="6202D24E" w14:textId="77777777" w:rsidTr="000972AF">
        <w:trPr>
          <w:jc w:val="center"/>
        </w:trPr>
        <w:tc>
          <w:tcPr>
            <w:tcW w:w="1601" w:type="pct"/>
            <w:tcBorders>
              <w:top w:val="nil"/>
              <w:left w:val="nil"/>
              <w:bottom w:val="nil"/>
              <w:right w:val="nil"/>
            </w:tcBorders>
          </w:tcPr>
          <w:p w14:paraId="327B3610" w14:textId="77777777" w:rsidR="000F16C4" w:rsidRDefault="000F16C4" w:rsidP="000972AF">
            <w:pPr>
              <w:widowControl w:val="0"/>
              <w:autoSpaceDE w:val="0"/>
              <w:autoSpaceDN w:val="0"/>
              <w:adjustRightInd w:val="0"/>
              <w:spacing w:after="0" w:line="240" w:lineRule="auto"/>
              <w:rPr>
                <w:szCs w:val="24"/>
              </w:rPr>
            </w:pPr>
          </w:p>
        </w:tc>
        <w:tc>
          <w:tcPr>
            <w:tcW w:w="596" w:type="pct"/>
            <w:tcBorders>
              <w:top w:val="nil"/>
              <w:left w:val="nil"/>
              <w:bottom w:val="nil"/>
              <w:right w:val="nil"/>
            </w:tcBorders>
          </w:tcPr>
          <w:p w14:paraId="3BD5E119" w14:textId="77777777" w:rsidR="000F16C4" w:rsidRDefault="000F16C4" w:rsidP="000972AF">
            <w:pPr>
              <w:widowControl w:val="0"/>
              <w:autoSpaceDE w:val="0"/>
              <w:autoSpaceDN w:val="0"/>
              <w:adjustRightInd w:val="0"/>
              <w:spacing w:after="0" w:line="240" w:lineRule="auto"/>
              <w:jc w:val="center"/>
              <w:rPr>
                <w:szCs w:val="24"/>
              </w:rPr>
            </w:pPr>
            <w:r>
              <w:rPr>
                <w:szCs w:val="24"/>
              </w:rPr>
              <w:t>(0.07)</w:t>
            </w:r>
          </w:p>
        </w:tc>
        <w:tc>
          <w:tcPr>
            <w:tcW w:w="819" w:type="pct"/>
            <w:tcBorders>
              <w:top w:val="nil"/>
              <w:left w:val="nil"/>
              <w:bottom w:val="nil"/>
              <w:right w:val="nil"/>
            </w:tcBorders>
          </w:tcPr>
          <w:p w14:paraId="17295B65" w14:textId="77777777" w:rsidR="000F16C4" w:rsidRDefault="000F16C4" w:rsidP="000972AF">
            <w:pPr>
              <w:widowControl w:val="0"/>
              <w:autoSpaceDE w:val="0"/>
              <w:autoSpaceDN w:val="0"/>
              <w:adjustRightInd w:val="0"/>
              <w:spacing w:after="0" w:line="240" w:lineRule="auto"/>
              <w:jc w:val="center"/>
              <w:rPr>
                <w:szCs w:val="24"/>
              </w:rPr>
            </w:pPr>
            <w:r>
              <w:rPr>
                <w:szCs w:val="24"/>
              </w:rPr>
              <w:t>(0.07)</w:t>
            </w:r>
          </w:p>
        </w:tc>
        <w:tc>
          <w:tcPr>
            <w:tcW w:w="596" w:type="pct"/>
            <w:tcBorders>
              <w:top w:val="nil"/>
              <w:left w:val="nil"/>
              <w:bottom w:val="nil"/>
              <w:right w:val="nil"/>
            </w:tcBorders>
          </w:tcPr>
          <w:p w14:paraId="28A3E6F8" w14:textId="77777777" w:rsidR="000F16C4" w:rsidRDefault="000F16C4" w:rsidP="000972AF">
            <w:pPr>
              <w:widowControl w:val="0"/>
              <w:autoSpaceDE w:val="0"/>
              <w:autoSpaceDN w:val="0"/>
              <w:adjustRightInd w:val="0"/>
              <w:spacing w:after="0" w:line="240" w:lineRule="auto"/>
              <w:jc w:val="center"/>
              <w:rPr>
                <w:szCs w:val="24"/>
              </w:rPr>
            </w:pPr>
            <w:r>
              <w:rPr>
                <w:szCs w:val="24"/>
              </w:rPr>
              <w:t>(0.07)</w:t>
            </w:r>
          </w:p>
        </w:tc>
        <w:tc>
          <w:tcPr>
            <w:tcW w:w="792" w:type="pct"/>
            <w:tcBorders>
              <w:top w:val="nil"/>
              <w:left w:val="nil"/>
              <w:bottom w:val="nil"/>
              <w:right w:val="nil"/>
            </w:tcBorders>
          </w:tcPr>
          <w:p w14:paraId="32E07131" w14:textId="77777777" w:rsidR="000F16C4" w:rsidRDefault="000F16C4" w:rsidP="000972AF">
            <w:pPr>
              <w:widowControl w:val="0"/>
              <w:autoSpaceDE w:val="0"/>
              <w:autoSpaceDN w:val="0"/>
              <w:adjustRightInd w:val="0"/>
              <w:spacing w:after="0" w:line="240" w:lineRule="auto"/>
              <w:jc w:val="center"/>
              <w:rPr>
                <w:szCs w:val="24"/>
              </w:rPr>
            </w:pPr>
            <w:r>
              <w:rPr>
                <w:szCs w:val="24"/>
              </w:rPr>
              <w:t>(0.08)</w:t>
            </w:r>
          </w:p>
        </w:tc>
        <w:tc>
          <w:tcPr>
            <w:tcW w:w="596" w:type="pct"/>
            <w:tcBorders>
              <w:top w:val="nil"/>
              <w:left w:val="nil"/>
              <w:bottom w:val="nil"/>
              <w:right w:val="nil"/>
            </w:tcBorders>
          </w:tcPr>
          <w:p w14:paraId="67632802" w14:textId="77777777" w:rsidR="000F16C4" w:rsidRDefault="000F16C4" w:rsidP="000972AF">
            <w:pPr>
              <w:widowControl w:val="0"/>
              <w:autoSpaceDE w:val="0"/>
              <w:autoSpaceDN w:val="0"/>
              <w:adjustRightInd w:val="0"/>
              <w:spacing w:after="0" w:line="240" w:lineRule="auto"/>
              <w:jc w:val="center"/>
              <w:rPr>
                <w:szCs w:val="24"/>
              </w:rPr>
            </w:pPr>
            <w:r>
              <w:rPr>
                <w:szCs w:val="24"/>
              </w:rPr>
              <w:t>(0.07)</w:t>
            </w:r>
          </w:p>
        </w:tc>
      </w:tr>
      <w:tr w:rsidR="000F16C4" w14:paraId="15BC72C6" w14:textId="77777777" w:rsidTr="000972AF">
        <w:trPr>
          <w:jc w:val="center"/>
        </w:trPr>
        <w:tc>
          <w:tcPr>
            <w:tcW w:w="1601" w:type="pct"/>
            <w:tcBorders>
              <w:top w:val="nil"/>
              <w:left w:val="nil"/>
              <w:bottom w:val="nil"/>
              <w:right w:val="nil"/>
            </w:tcBorders>
          </w:tcPr>
          <w:p w14:paraId="214AE4A9" w14:textId="77777777" w:rsidR="000F16C4" w:rsidRDefault="000F16C4" w:rsidP="000972AF">
            <w:pPr>
              <w:widowControl w:val="0"/>
              <w:autoSpaceDE w:val="0"/>
              <w:autoSpaceDN w:val="0"/>
              <w:adjustRightInd w:val="0"/>
              <w:spacing w:after="0" w:line="240" w:lineRule="auto"/>
              <w:rPr>
                <w:szCs w:val="24"/>
              </w:rPr>
            </w:pPr>
            <w:r>
              <w:rPr>
                <w:szCs w:val="24"/>
              </w:rPr>
              <w:t>Reg.partners*Medium city</w:t>
            </w:r>
          </w:p>
        </w:tc>
        <w:tc>
          <w:tcPr>
            <w:tcW w:w="596" w:type="pct"/>
            <w:tcBorders>
              <w:top w:val="nil"/>
              <w:left w:val="nil"/>
              <w:bottom w:val="nil"/>
              <w:right w:val="nil"/>
            </w:tcBorders>
          </w:tcPr>
          <w:p w14:paraId="5132F791" w14:textId="77777777" w:rsidR="000F16C4" w:rsidRDefault="000F16C4" w:rsidP="000972AF">
            <w:pPr>
              <w:widowControl w:val="0"/>
              <w:autoSpaceDE w:val="0"/>
              <w:autoSpaceDN w:val="0"/>
              <w:adjustRightInd w:val="0"/>
              <w:spacing w:after="0" w:line="240" w:lineRule="auto"/>
              <w:jc w:val="center"/>
              <w:rPr>
                <w:szCs w:val="24"/>
              </w:rPr>
            </w:pPr>
            <w:r>
              <w:rPr>
                <w:szCs w:val="24"/>
              </w:rPr>
              <w:t>1.11</w:t>
            </w:r>
          </w:p>
        </w:tc>
        <w:tc>
          <w:tcPr>
            <w:tcW w:w="819" w:type="pct"/>
            <w:tcBorders>
              <w:top w:val="nil"/>
              <w:left w:val="nil"/>
              <w:bottom w:val="nil"/>
              <w:right w:val="nil"/>
            </w:tcBorders>
          </w:tcPr>
          <w:p w14:paraId="2B505D27" w14:textId="77777777" w:rsidR="000F16C4" w:rsidRDefault="000F16C4" w:rsidP="000972AF">
            <w:pPr>
              <w:widowControl w:val="0"/>
              <w:autoSpaceDE w:val="0"/>
              <w:autoSpaceDN w:val="0"/>
              <w:adjustRightInd w:val="0"/>
              <w:spacing w:after="0" w:line="240" w:lineRule="auto"/>
              <w:jc w:val="center"/>
              <w:rPr>
                <w:szCs w:val="24"/>
              </w:rPr>
            </w:pPr>
            <w:r>
              <w:rPr>
                <w:szCs w:val="24"/>
              </w:rPr>
              <w:t>1.00</w:t>
            </w:r>
          </w:p>
        </w:tc>
        <w:tc>
          <w:tcPr>
            <w:tcW w:w="596" w:type="pct"/>
            <w:tcBorders>
              <w:top w:val="nil"/>
              <w:left w:val="nil"/>
              <w:bottom w:val="nil"/>
              <w:right w:val="nil"/>
            </w:tcBorders>
          </w:tcPr>
          <w:p w14:paraId="45127516" w14:textId="77777777" w:rsidR="000F16C4" w:rsidRDefault="000F16C4" w:rsidP="000972AF">
            <w:pPr>
              <w:widowControl w:val="0"/>
              <w:autoSpaceDE w:val="0"/>
              <w:autoSpaceDN w:val="0"/>
              <w:adjustRightInd w:val="0"/>
              <w:spacing w:after="0" w:line="240" w:lineRule="auto"/>
              <w:jc w:val="center"/>
              <w:rPr>
                <w:szCs w:val="24"/>
              </w:rPr>
            </w:pPr>
            <w:r>
              <w:rPr>
                <w:szCs w:val="24"/>
              </w:rPr>
              <w:t>0.92</w:t>
            </w:r>
          </w:p>
        </w:tc>
        <w:tc>
          <w:tcPr>
            <w:tcW w:w="792" w:type="pct"/>
            <w:tcBorders>
              <w:top w:val="nil"/>
              <w:left w:val="nil"/>
              <w:bottom w:val="nil"/>
              <w:right w:val="nil"/>
            </w:tcBorders>
          </w:tcPr>
          <w:p w14:paraId="7022B79D" w14:textId="77777777" w:rsidR="000F16C4" w:rsidRDefault="000F16C4" w:rsidP="000972AF">
            <w:pPr>
              <w:widowControl w:val="0"/>
              <w:autoSpaceDE w:val="0"/>
              <w:autoSpaceDN w:val="0"/>
              <w:adjustRightInd w:val="0"/>
              <w:spacing w:after="0" w:line="240" w:lineRule="auto"/>
              <w:jc w:val="center"/>
              <w:rPr>
                <w:szCs w:val="24"/>
              </w:rPr>
            </w:pPr>
            <w:r>
              <w:rPr>
                <w:szCs w:val="24"/>
              </w:rPr>
              <w:t>1.14</w:t>
            </w:r>
          </w:p>
        </w:tc>
        <w:tc>
          <w:tcPr>
            <w:tcW w:w="596" w:type="pct"/>
            <w:tcBorders>
              <w:top w:val="nil"/>
              <w:left w:val="nil"/>
              <w:bottom w:val="nil"/>
              <w:right w:val="nil"/>
            </w:tcBorders>
          </w:tcPr>
          <w:p w14:paraId="7EEAEE14" w14:textId="77777777" w:rsidR="000F16C4" w:rsidRDefault="000F16C4" w:rsidP="000972AF">
            <w:pPr>
              <w:widowControl w:val="0"/>
              <w:autoSpaceDE w:val="0"/>
              <w:autoSpaceDN w:val="0"/>
              <w:adjustRightInd w:val="0"/>
              <w:spacing w:after="0" w:line="240" w:lineRule="auto"/>
              <w:jc w:val="center"/>
              <w:rPr>
                <w:szCs w:val="24"/>
              </w:rPr>
            </w:pPr>
            <w:r>
              <w:rPr>
                <w:szCs w:val="24"/>
              </w:rPr>
              <w:t>1.08</w:t>
            </w:r>
          </w:p>
        </w:tc>
      </w:tr>
      <w:tr w:rsidR="000F16C4" w14:paraId="38CAD5C8" w14:textId="77777777" w:rsidTr="000972AF">
        <w:trPr>
          <w:jc w:val="center"/>
        </w:trPr>
        <w:tc>
          <w:tcPr>
            <w:tcW w:w="1601" w:type="pct"/>
            <w:tcBorders>
              <w:top w:val="nil"/>
              <w:left w:val="nil"/>
              <w:bottom w:val="nil"/>
              <w:right w:val="nil"/>
            </w:tcBorders>
          </w:tcPr>
          <w:p w14:paraId="798BD2FE" w14:textId="77777777" w:rsidR="000F16C4" w:rsidRDefault="000F16C4" w:rsidP="000972AF">
            <w:pPr>
              <w:widowControl w:val="0"/>
              <w:autoSpaceDE w:val="0"/>
              <w:autoSpaceDN w:val="0"/>
              <w:adjustRightInd w:val="0"/>
              <w:spacing w:after="0" w:line="240" w:lineRule="auto"/>
              <w:rPr>
                <w:szCs w:val="24"/>
              </w:rPr>
            </w:pPr>
          </w:p>
        </w:tc>
        <w:tc>
          <w:tcPr>
            <w:tcW w:w="596" w:type="pct"/>
            <w:tcBorders>
              <w:top w:val="nil"/>
              <w:left w:val="nil"/>
              <w:bottom w:val="nil"/>
              <w:right w:val="nil"/>
            </w:tcBorders>
          </w:tcPr>
          <w:p w14:paraId="042A5BE7" w14:textId="77777777" w:rsidR="000F16C4" w:rsidRDefault="000F16C4" w:rsidP="000972AF">
            <w:pPr>
              <w:widowControl w:val="0"/>
              <w:autoSpaceDE w:val="0"/>
              <w:autoSpaceDN w:val="0"/>
              <w:adjustRightInd w:val="0"/>
              <w:spacing w:after="0" w:line="240" w:lineRule="auto"/>
              <w:jc w:val="center"/>
              <w:rPr>
                <w:szCs w:val="24"/>
              </w:rPr>
            </w:pPr>
            <w:r>
              <w:rPr>
                <w:szCs w:val="24"/>
              </w:rPr>
              <w:t>(0.09)</w:t>
            </w:r>
          </w:p>
        </w:tc>
        <w:tc>
          <w:tcPr>
            <w:tcW w:w="819" w:type="pct"/>
            <w:tcBorders>
              <w:top w:val="nil"/>
              <w:left w:val="nil"/>
              <w:bottom w:val="nil"/>
              <w:right w:val="nil"/>
            </w:tcBorders>
          </w:tcPr>
          <w:p w14:paraId="681469AF" w14:textId="77777777" w:rsidR="000F16C4" w:rsidRDefault="000F16C4" w:rsidP="000972AF">
            <w:pPr>
              <w:widowControl w:val="0"/>
              <w:autoSpaceDE w:val="0"/>
              <w:autoSpaceDN w:val="0"/>
              <w:adjustRightInd w:val="0"/>
              <w:spacing w:after="0" w:line="240" w:lineRule="auto"/>
              <w:jc w:val="center"/>
              <w:rPr>
                <w:szCs w:val="24"/>
              </w:rPr>
            </w:pPr>
            <w:r>
              <w:rPr>
                <w:szCs w:val="24"/>
              </w:rPr>
              <w:t>(0.09)</w:t>
            </w:r>
          </w:p>
        </w:tc>
        <w:tc>
          <w:tcPr>
            <w:tcW w:w="596" w:type="pct"/>
            <w:tcBorders>
              <w:top w:val="nil"/>
              <w:left w:val="nil"/>
              <w:bottom w:val="nil"/>
              <w:right w:val="nil"/>
            </w:tcBorders>
          </w:tcPr>
          <w:p w14:paraId="72274453" w14:textId="77777777" w:rsidR="000F16C4" w:rsidRDefault="000F16C4" w:rsidP="000972AF">
            <w:pPr>
              <w:widowControl w:val="0"/>
              <w:autoSpaceDE w:val="0"/>
              <w:autoSpaceDN w:val="0"/>
              <w:adjustRightInd w:val="0"/>
              <w:spacing w:after="0" w:line="240" w:lineRule="auto"/>
              <w:jc w:val="center"/>
              <w:rPr>
                <w:szCs w:val="24"/>
              </w:rPr>
            </w:pPr>
            <w:r>
              <w:rPr>
                <w:szCs w:val="24"/>
              </w:rPr>
              <w:t>(0.08)</w:t>
            </w:r>
          </w:p>
        </w:tc>
        <w:tc>
          <w:tcPr>
            <w:tcW w:w="792" w:type="pct"/>
            <w:tcBorders>
              <w:top w:val="nil"/>
              <w:left w:val="nil"/>
              <w:bottom w:val="nil"/>
              <w:right w:val="nil"/>
            </w:tcBorders>
          </w:tcPr>
          <w:p w14:paraId="6775179D" w14:textId="77777777" w:rsidR="000F16C4" w:rsidRDefault="000F16C4" w:rsidP="000972AF">
            <w:pPr>
              <w:widowControl w:val="0"/>
              <w:autoSpaceDE w:val="0"/>
              <w:autoSpaceDN w:val="0"/>
              <w:adjustRightInd w:val="0"/>
              <w:spacing w:after="0" w:line="240" w:lineRule="auto"/>
              <w:jc w:val="center"/>
              <w:rPr>
                <w:szCs w:val="24"/>
              </w:rPr>
            </w:pPr>
            <w:r>
              <w:rPr>
                <w:szCs w:val="24"/>
              </w:rPr>
              <w:t>(0.10)</w:t>
            </w:r>
          </w:p>
        </w:tc>
        <w:tc>
          <w:tcPr>
            <w:tcW w:w="596" w:type="pct"/>
            <w:tcBorders>
              <w:top w:val="nil"/>
              <w:left w:val="nil"/>
              <w:bottom w:val="nil"/>
              <w:right w:val="nil"/>
            </w:tcBorders>
          </w:tcPr>
          <w:p w14:paraId="1217DECB" w14:textId="77777777" w:rsidR="000F16C4" w:rsidRDefault="000F16C4" w:rsidP="000972AF">
            <w:pPr>
              <w:widowControl w:val="0"/>
              <w:autoSpaceDE w:val="0"/>
              <w:autoSpaceDN w:val="0"/>
              <w:adjustRightInd w:val="0"/>
              <w:spacing w:after="0" w:line="240" w:lineRule="auto"/>
              <w:jc w:val="center"/>
              <w:rPr>
                <w:szCs w:val="24"/>
              </w:rPr>
            </w:pPr>
            <w:r>
              <w:rPr>
                <w:szCs w:val="24"/>
              </w:rPr>
              <w:t>(0.09)</w:t>
            </w:r>
          </w:p>
        </w:tc>
      </w:tr>
      <w:tr w:rsidR="000F16C4" w14:paraId="1F773A17" w14:textId="77777777" w:rsidTr="000972AF">
        <w:trPr>
          <w:jc w:val="center"/>
        </w:trPr>
        <w:tc>
          <w:tcPr>
            <w:tcW w:w="1601" w:type="pct"/>
            <w:tcBorders>
              <w:top w:val="nil"/>
              <w:left w:val="nil"/>
              <w:bottom w:val="nil"/>
              <w:right w:val="nil"/>
            </w:tcBorders>
          </w:tcPr>
          <w:p w14:paraId="587830CC" w14:textId="77777777" w:rsidR="000F16C4" w:rsidRDefault="000F16C4" w:rsidP="000972AF">
            <w:pPr>
              <w:widowControl w:val="0"/>
              <w:autoSpaceDE w:val="0"/>
              <w:autoSpaceDN w:val="0"/>
              <w:adjustRightInd w:val="0"/>
              <w:spacing w:after="0" w:line="240" w:lineRule="auto"/>
              <w:rPr>
                <w:szCs w:val="24"/>
              </w:rPr>
            </w:pPr>
            <w:r>
              <w:rPr>
                <w:szCs w:val="24"/>
              </w:rPr>
              <w:t>Reg.partners*Big city</w:t>
            </w:r>
          </w:p>
        </w:tc>
        <w:tc>
          <w:tcPr>
            <w:tcW w:w="596" w:type="pct"/>
            <w:tcBorders>
              <w:top w:val="nil"/>
              <w:left w:val="nil"/>
              <w:bottom w:val="nil"/>
              <w:right w:val="nil"/>
            </w:tcBorders>
          </w:tcPr>
          <w:p w14:paraId="15F4E578" w14:textId="77777777" w:rsidR="000F16C4" w:rsidRDefault="000F16C4" w:rsidP="000972AF">
            <w:pPr>
              <w:widowControl w:val="0"/>
              <w:autoSpaceDE w:val="0"/>
              <w:autoSpaceDN w:val="0"/>
              <w:adjustRightInd w:val="0"/>
              <w:spacing w:after="0" w:line="240" w:lineRule="auto"/>
              <w:jc w:val="center"/>
              <w:rPr>
                <w:szCs w:val="24"/>
              </w:rPr>
            </w:pPr>
            <w:r>
              <w:rPr>
                <w:szCs w:val="24"/>
              </w:rPr>
              <w:t>1.00</w:t>
            </w:r>
          </w:p>
        </w:tc>
        <w:tc>
          <w:tcPr>
            <w:tcW w:w="819" w:type="pct"/>
            <w:tcBorders>
              <w:top w:val="nil"/>
              <w:left w:val="nil"/>
              <w:bottom w:val="nil"/>
              <w:right w:val="nil"/>
            </w:tcBorders>
          </w:tcPr>
          <w:p w14:paraId="6F13DA86" w14:textId="77777777" w:rsidR="000F16C4" w:rsidRDefault="000F16C4" w:rsidP="000972AF">
            <w:pPr>
              <w:widowControl w:val="0"/>
              <w:autoSpaceDE w:val="0"/>
              <w:autoSpaceDN w:val="0"/>
              <w:adjustRightInd w:val="0"/>
              <w:spacing w:after="0" w:line="240" w:lineRule="auto"/>
              <w:jc w:val="center"/>
              <w:rPr>
                <w:szCs w:val="24"/>
              </w:rPr>
            </w:pPr>
            <w:r>
              <w:rPr>
                <w:szCs w:val="24"/>
              </w:rPr>
              <w:t>0.88</w:t>
            </w:r>
          </w:p>
        </w:tc>
        <w:tc>
          <w:tcPr>
            <w:tcW w:w="596" w:type="pct"/>
            <w:tcBorders>
              <w:top w:val="nil"/>
              <w:left w:val="nil"/>
              <w:bottom w:val="nil"/>
              <w:right w:val="nil"/>
            </w:tcBorders>
          </w:tcPr>
          <w:p w14:paraId="67B32DC7" w14:textId="77777777" w:rsidR="000F16C4" w:rsidRDefault="000F16C4" w:rsidP="000972AF">
            <w:pPr>
              <w:widowControl w:val="0"/>
              <w:autoSpaceDE w:val="0"/>
              <w:autoSpaceDN w:val="0"/>
              <w:adjustRightInd w:val="0"/>
              <w:spacing w:after="0" w:line="240" w:lineRule="auto"/>
              <w:jc w:val="center"/>
              <w:rPr>
                <w:szCs w:val="24"/>
              </w:rPr>
            </w:pPr>
            <w:r>
              <w:rPr>
                <w:szCs w:val="24"/>
              </w:rPr>
              <w:t>0.97</w:t>
            </w:r>
          </w:p>
        </w:tc>
        <w:tc>
          <w:tcPr>
            <w:tcW w:w="792" w:type="pct"/>
            <w:tcBorders>
              <w:top w:val="nil"/>
              <w:left w:val="nil"/>
              <w:bottom w:val="nil"/>
              <w:right w:val="nil"/>
            </w:tcBorders>
          </w:tcPr>
          <w:p w14:paraId="5FF02919" w14:textId="77777777" w:rsidR="000F16C4" w:rsidRDefault="000F16C4" w:rsidP="000972AF">
            <w:pPr>
              <w:widowControl w:val="0"/>
              <w:autoSpaceDE w:val="0"/>
              <w:autoSpaceDN w:val="0"/>
              <w:adjustRightInd w:val="0"/>
              <w:spacing w:after="0" w:line="240" w:lineRule="auto"/>
              <w:jc w:val="center"/>
              <w:rPr>
                <w:szCs w:val="24"/>
              </w:rPr>
            </w:pPr>
            <w:r>
              <w:rPr>
                <w:szCs w:val="24"/>
              </w:rPr>
              <w:t>1.05</w:t>
            </w:r>
          </w:p>
        </w:tc>
        <w:tc>
          <w:tcPr>
            <w:tcW w:w="596" w:type="pct"/>
            <w:tcBorders>
              <w:top w:val="nil"/>
              <w:left w:val="nil"/>
              <w:bottom w:val="nil"/>
              <w:right w:val="nil"/>
            </w:tcBorders>
          </w:tcPr>
          <w:p w14:paraId="1B657CF3" w14:textId="77777777" w:rsidR="000F16C4" w:rsidRDefault="000F16C4" w:rsidP="000972AF">
            <w:pPr>
              <w:widowControl w:val="0"/>
              <w:autoSpaceDE w:val="0"/>
              <w:autoSpaceDN w:val="0"/>
              <w:adjustRightInd w:val="0"/>
              <w:spacing w:after="0" w:line="240" w:lineRule="auto"/>
              <w:jc w:val="center"/>
              <w:rPr>
                <w:szCs w:val="24"/>
              </w:rPr>
            </w:pPr>
            <w:r>
              <w:rPr>
                <w:szCs w:val="24"/>
              </w:rPr>
              <w:t>0.89</w:t>
            </w:r>
          </w:p>
        </w:tc>
      </w:tr>
      <w:tr w:rsidR="000F16C4" w14:paraId="69726A79" w14:textId="77777777" w:rsidTr="000972AF">
        <w:trPr>
          <w:jc w:val="center"/>
        </w:trPr>
        <w:tc>
          <w:tcPr>
            <w:tcW w:w="1601" w:type="pct"/>
            <w:tcBorders>
              <w:top w:val="nil"/>
              <w:left w:val="nil"/>
              <w:bottom w:val="nil"/>
              <w:right w:val="nil"/>
            </w:tcBorders>
          </w:tcPr>
          <w:p w14:paraId="3BFC4698" w14:textId="77777777" w:rsidR="000F16C4" w:rsidRDefault="000F16C4" w:rsidP="000972AF">
            <w:pPr>
              <w:widowControl w:val="0"/>
              <w:autoSpaceDE w:val="0"/>
              <w:autoSpaceDN w:val="0"/>
              <w:adjustRightInd w:val="0"/>
              <w:spacing w:after="0" w:line="240" w:lineRule="auto"/>
              <w:rPr>
                <w:szCs w:val="24"/>
              </w:rPr>
            </w:pPr>
          </w:p>
        </w:tc>
        <w:tc>
          <w:tcPr>
            <w:tcW w:w="596" w:type="pct"/>
            <w:tcBorders>
              <w:top w:val="nil"/>
              <w:left w:val="nil"/>
              <w:bottom w:val="nil"/>
              <w:right w:val="nil"/>
            </w:tcBorders>
          </w:tcPr>
          <w:p w14:paraId="582CFE93" w14:textId="77777777" w:rsidR="000F16C4" w:rsidRDefault="000F16C4" w:rsidP="000972AF">
            <w:pPr>
              <w:widowControl w:val="0"/>
              <w:autoSpaceDE w:val="0"/>
              <w:autoSpaceDN w:val="0"/>
              <w:adjustRightInd w:val="0"/>
              <w:spacing w:after="0" w:line="240" w:lineRule="auto"/>
              <w:jc w:val="center"/>
              <w:rPr>
                <w:szCs w:val="24"/>
              </w:rPr>
            </w:pPr>
            <w:r>
              <w:rPr>
                <w:szCs w:val="24"/>
              </w:rPr>
              <w:t>(0.08)</w:t>
            </w:r>
          </w:p>
        </w:tc>
        <w:tc>
          <w:tcPr>
            <w:tcW w:w="819" w:type="pct"/>
            <w:tcBorders>
              <w:top w:val="nil"/>
              <w:left w:val="nil"/>
              <w:bottom w:val="nil"/>
              <w:right w:val="nil"/>
            </w:tcBorders>
          </w:tcPr>
          <w:p w14:paraId="512F2092" w14:textId="77777777" w:rsidR="000F16C4" w:rsidRDefault="000F16C4" w:rsidP="000972AF">
            <w:pPr>
              <w:widowControl w:val="0"/>
              <w:autoSpaceDE w:val="0"/>
              <w:autoSpaceDN w:val="0"/>
              <w:adjustRightInd w:val="0"/>
              <w:spacing w:after="0" w:line="240" w:lineRule="auto"/>
              <w:jc w:val="center"/>
              <w:rPr>
                <w:szCs w:val="24"/>
              </w:rPr>
            </w:pPr>
            <w:r>
              <w:rPr>
                <w:szCs w:val="24"/>
              </w:rPr>
              <w:t>(0.08)</w:t>
            </w:r>
          </w:p>
        </w:tc>
        <w:tc>
          <w:tcPr>
            <w:tcW w:w="596" w:type="pct"/>
            <w:tcBorders>
              <w:top w:val="nil"/>
              <w:left w:val="nil"/>
              <w:bottom w:val="nil"/>
              <w:right w:val="nil"/>
            </w:tcBorders>
          </w:tcPr>
          <w:p w14:paraId="180172B5" w14:textId="77777777" w:rsidR="000F16C4" w:rsidRDefault="000F16C4" w:rsidP="000972AF">
            <w:pPr>
              <w:widowControl w:val="0"/>
              <w:autoSpaceDE w:val="0"/>
              <w:autoSpaceDN w:val="0"/>
              <w:adjustRightInd w:val="0"/>
              <w:spacing w:after="0" w:line="240" w:lineRule="auto"/>
              <w:jc w:val="center"/>
              <w:rPr>
                <w:szCs w:val="24"/>
              </w:rPr>
            </w:pPr>
            <w:r>
              <w:rPr>
                <w:szCs w:val="24"/>
              </w:rPr>
              <w:t>(0.07)</w:t>
            </w:r>
          </w:p>
        </w:tc>
        <w:tc>
          <w:tcPr>
            <w:tcW w:w="792" w:type="pct"/>
            <w:tcBorders>
              <w:top w:val="nil"/>
              <w:left w:val="nil"/>
              <w:bottom w:val="nil"/>
              <w:right w:val="nil"/>
            </w:tcBorders>
          </w:tcPr>
          <w:p w14:paraId="0A9A524A" w14:textId="77777777" w:rsidR="000F16C4" w:rsidRDefault="000F16C4" w:rsidP="000972AF">
            <w:pPr>
              <w:widowControl w:val="0"/>
              <w:autoSpaceDE w:val="0"/>
              <w:autoSpaceDN w:val="0"/>
              <w:adjustRightInd w:val="0"/>
              <w:spacing w:after="0" w:line="240" w:lineRule="auto"/>
              <w:jc w:val="center"/>
              <w:rPr>
                <w:szCs w:val="24"/>
              </w:rPr>
            </w:pPr>
            <w:r>
              <w:rPr>
                <w:szCs w:val="24"/>
              </w:rPr>
              <w:t>(0.09)</w:t>
            </w:r>
          </w:p>
        </w:tc>
        <w:tc>
          <w:tcPr>
            <w:tcW w:w="596" w:type="pct"/>
            <w:tcBorders>
              <w:top w:val="nil"/>
              <w:left w:val="nil"/>
              <w:bottom w:val="nil"/>
              <w:right w:val="nil"/>
            </w:tcBorders>
          </w:tcPr>
          <w:p w14:paraId="5D538DC3" w14:textId="77777777" w:rsidR="000F16C4" w:rsidRDefault="000F16C4" w:rsidP="000972AF">
            <w:pPr>
              <w:widowControl w:val="0"/>
              <w:autoSpaceDE w:val="0"/>
              <w:autoSpaceDN w:val="0"/>
              <w:adjustRightInd w:val="0"/>
              <w:spacing w:after="0" w:line="240" w:lineRule="auto"/>
              <w:jc w:val="center"/>
              <w:rPr>
                <w:szCs w:val="24"/>
              </w:rPr>
            </w:pPr>
            <w:r>
              <w:rPr>
                <w:szCs w:val="24"/>
              </w:rPr>
              <w:t>(0.07)</w:t>
            </w:r>
          </w:p>
        </w:tc>
      </w:tr>
      <w:tr w:rsidR="000F16C4" w14:paraId="7CD893F1" w14:textId="77777777" w:rsidTr="000972AF">
        <w:trPr>
          <w:jc w:val="center"/>
        </w:trPr>
        <w:tc>
          <w:tcPr>
            <w:tcW w:w="1601" w:type="pct"/>
            <w:tcBorders>
              <w:top w:val="nil"/>
              <w:left w:val="nil"/>
              <w:bottom w:val="nil"/>
              <w:right w:val="nil"/>
            </w:tcBorders>
          </w:tcPr>
          <w:p w14:paraId="656B8EBA" w14:textId="77777777" w:rsidR="000F16C4" w:rsidRDefault="000F16C4" w:rsidP="000972AF">
            <w:pPr>
              <w:widowControl w:val="0"/>
              <w:autoSpaceDE w:val="0"/>
              <w:autoSpaceDN w:val="0"/>
              <w:adjustRightInd w:val="0"/>
              <w:spacing w:after="0" w:line="240" w:lineRule="auto"/>
              <w:rPr>
                <w:szCs w:val="24"/>
              </w:rPr>
            </w:pPr>
            <w:r>
              <w:rPr>
                <w:szCs w:val="24"/>
              </w:rPr>
              <w:t>Log R&amp;D expenditure</w:t>
            </w:r>
          </w:p>
        </w:tc>
        <w:tc>
          <w:tcPr>
            <w:tcW w:w="596" w:type="pct"/>
            <w:tcBorders>
              <w:top w:val="nil"/>
              <w:left w:val="nil"/>
              <w:bottom w:val="nil"/>
              <w:right w:val="nil"/>
            </w:tcBorders>
          </w:tcPr>
          <w:p w14:paraId="6A4F6F8D" w14:textId="77777777" w:rsidR="000F16C4" w:rsidRDefault="000F16C4" w:rsidP="000972AF">
            <w:pPr>
              <w:widowControl w:val="0"/>
              <w:autoSpaceDE w:val="0"/>
              <w:autoSpaceDN w:val="0"/>
              <w:adjustRightInd w:val="0"/>
              <w:spacing w:after="0" w:line="240" w:lineRule="auto"/>
              <w:jc w:val="center"/>
              <w:rPr>
                <w:szCs w:val="24"/>
              </w:rPr>
            </w:pPr>
            <w:r>
              <w:rPr>
                <w:szCs w:val="24"/>
              </w:rPr>
              <w:t>1.21***</w:t>
            </w:r>
          </w:p>
        </w:tc>
        <w:tc>
          <w:tcPr>
            <w:tcW w:w="819" w:type="pct"/>
            <w:tcBorders>
              <w:top w:val="nil"/>
              <w:left w:val="nil"/>
              <w:bottom w:val="nil"/>
              <w:right w:val="nil"/>
            </w:tcBorders>
          </w:tcPr>
          <w:p w14:paraId="04776957" w14:textId="77777777" w:rsidR="000F16C4" w:rsidRDefault="000F16C4" w:rsidP="000972AF">
            <w:pPr>
              <w:widowControl w:val="0"/>
              <w:autoSpaceDE w:val="0"/>
              <w:autoSpaceDN w:val="0"/>
              <w:adjustRightInd w:val="0"/>
              <w:spacing w:after="0" w:line="240" w:lineRule="auto"/>
              <w:jc w:val="center"/>
              <w:rPr>
                <w:szCs w:val="24"/>
              </w:rPr>
            </w:pPr>
            <w:r>
              <w:rPr>
                <w:szCs w:val="24"/>
              </w:rPr>
              <w:t>1.22***</w:t>
            </w:r>
          </w:p>
        </w:tc>
        <w:tc>
          <w:tcPr>
            <w:tcW w:w="596" w:type="pct"/>
            <w:tcBorders>
              <w:top w:val="nil"/>
              <w:left w:val="nil"/>
              <w:bottom w:val="nil"/>
              <w:right w:val="nil"/>
            </w:tcBorders>
          </w:tcPr>
          <w:p w14:paraId="7410DE68" w14:textId="77777777" w:rsidR="000F16C4" w:rsidRDefault="000F16C4" w:rsidP="000972AF">
            <w:pPr>
              <w:widowControl w:val="0"/>
              <w:autoSpaceDE w:val="0"/>
              <w:autoSpaceDN w:val="0"/>
              <w:adjustRightInd w:val="0"/>
              <w:spacing w:after="0" w:line="240" w:lineRule="auto"/>
              <w:jc w:val="center"/>
              <w:rPr>
                <w:szCs w:val="24"/>
              </w:rPr>
            </w:pPr>
            <w:r>
              <w:rPr>
                <w:szCs w:val="24"/>
              </w:rPr>
              <w:t>1.16***</w:t>
            </w:r>
          </w:p>
        </w:tc>
        <w:tc>
          <w:tcPr>
            <w:tcW w:w="792" w:type="pct"/>
            <w:tcBorders>
              <w:top w:val="nil"/>
              <w:left w:val="nil"/>
              <w:bottom w:val="nil"/>
              <w:right w:val="nil"/>
            </w:tcBorders>
          </w:tcPr>
          <w:p w14:paraId="463137A3" w14:textId="77777777" w:rsidR="000F16C4" w:rsidRDefault="000F16C4" w:rsidP="000972AF">
            <w:pPr>
              <w:widowControl w:val="0"/>
              <w:autoSpaceDE w:val="0"/>
              <w:autoSpaceDN w:val="0"/>
              <w:adjustRightInd w:val="0"/>
              <w:spacing w:after="0" w:line="240" w:lineRule="auto"/>
              <w:jc w:val="center"/>
              <w:rPr>
                <w:szCs w:val="24"/>
              </w:rPr>
            </w:pPr>
            <w:r>
              <w:rPr>
                <w:szCs w:val="24"/>
              </w:rPr>
              <w:t>1.09***</w:t>
            </w:r>
          </w:p>
        </w:tc>
        <w:tc>
          <w:tcPr>
            <w:tcW w:w="596" w:type="pct"/>
            <w:tcBorders>
              <w:top w:val="nil"/>
              <w:left w:val="nil"/>
              <w:bottom w:val="nil"/>
              <w:right w:val="nil"/>
            </w:tcBorders>
          </w:tcPr>
          <w:p w14:paraId="69304BCB" w14:textId="77777777" w:rsidR="000F16C4" w:rsidRDefault="000F16C4" w:rsidP="000972AF">
            <w:pPr>
              <w:widowControl w:val="0"/>
              <w:autoSpaceDE w:val="0"/>
              <w:autoSpaceDN w:val="0"/>
              <w:adjustRightInd w:val="0"/>
              <w:spacing w:after="0" w:line="240" w:lineRule="auto"/>
              <w:jc w:val="center"/>
              <w:rPr>
                <w:szCs w:val="24"/>
              </w:rPr>
            </w:pPr>
            <w:r>
              <w:rPr>
                <w:szCs w:val="24"/>
              </w:rPr>
              <w:t>1.11***</w:t>
            </w:r>
          </w:p>
        </w:tc>
      </w:tr>
      <w:tr w:rsidR="000F16C4" w14:paraId="1D9113DB" w14:textId="77777777" w:rsidTr="000972AF">
        <w:trPr>
          <w:jc w:val="center"/>
        </w:trPr>
        <w:tc>
          <w:tcPr>
            <w:tcW w:w="1601" w:type="pct"/>
            <w:tcBorders>
              <w:top w:val="nil"/>
              <w:left w:val="nil"/>
              <w:bottom w:val="nil"/>
              <w:right w:val="nil"/>
            </w:tcBorders>
          </w:tcPr>
          <w:p w14:paraId="1BB085A8" w14:textId="77777777" w:rsidR="000F16C4" w:rsidRDefault="000F16C4" w:rsidP="000972AF">
            <w:pPr>
              <w:widowControl w:val="0"/>
              <w:autoSpaceDE w:val="0"/>
              <w:autoSpaceDN w:val="0"/>
              <w:adjustRightInd w:val="0"/>
              <w:spacing w:after="0" w:line="240" w:lineRule="auto"/>
              <w:rPr>
                <w:szCs w:val="24"/>
              </w:rPr>
            </w:pPr>
          </w:p>
        </w:tc>
        <w:tc>
          <w:tcPr>
            <w:tcW w:w="596" w:type="pct"/>
            <w:tcBorders>
              <w:top w:val="nil"/>
              <w:left w:val="nil"/>
              <w:bottom w:val="nil"/>
              <w:right w:val="nil"/>
            </w:tcBorders>
          </w:tcPr>
          <w:p w14:paraId="5E04304E" w14:textId="77777777" w:rsidR="000F16C4" w:rsidRDefault="000F16C4" w:rsidP="000972AF">
            <w:pPr>
              <w:widowControl w:val="0"/>
              <w:autoSpaceDE w:val="0"/>
              <w:autoSpaceDN w:val="0"/>
              <w:adjustRightInd w:val="0"/>
              <w:spacing w:after="0" w:line="240" w:lineRule="auto"/>
              <w:jc w:val="center"/>
              <w:rPr>
                <w:szCs w:val="24"/>
              </w:rPr>
            </w:pPr>
            <w:r>
              <w:rPr>
                <w:szCs w:val="24"/>
              </w:rPr>
              <w:t>(0.01)</w:t>
            </w:r>
          </w:p>
        </w:tc>
        <w:tc>
          <w:tcPr>
            <w:tcW w:w="819" w:type="pct"/>
            <w:tcBorders>
              <w:top w:val="nil"/>
              <w:left w:val="nil"/>
              <w:bottom w:val="nil"/>
              <w:right w:val="nil"/>
            </w:tcBorders>
          </w:tcPr>
          <w:p w14:paraId="61BE1BF7" w14:textId="77777777" w:rsidR="000F16C4" w:rsidRDefault="000F16C4" w:rsidP="000972AF">
            <w:pPr>
              <w:widowControl w:val="0"/>
              <w:autoSpaceDE w:val="0"/>
              <w:autoSpaceDN w:val="0"/>
              <w:adjustRightInd w:val="0"/>
              <w:spacing w:after="0" w:line="240" w:lineRule="auto"/>
              <w:jc w:val="center"/>
              <w:rPr>
                <w:szCs w:val="24"/>
              </w:rPr>
            </w:pPr>
            <w:r>
              <w:rPr>
                <w:szCs w:val="24"/>
              </w:rPr>
              <w:t>(0.02)</w:t>
            </w:r>
          </w:p>
        </w:tc>
        <w:tc>
          <w:tcPr>
            <w:tcW w:w="596" w:type="pct"/>
            <w:tcBorders>
              <w:top w:val="nil"/>
              <w:left w:val="nil"/>
              <w:bottom w:val="nil"/>
              <w:right w:val="nil"/>
            </w:tcBorders>
          </w:tcPr>
          <w:p w14:paraId="5543C7B1" w14:textId="77777777" w:rsidR="000F16C4" w:rsidRDefault="000F16C4" w:rsidP="000972AF">
            <w:pPr>
              <w:widowControl w:val="0"/>
              <w:autoSpaceDE w:val="0"/>
              <w:autoSpaceDN w:val="0"/>
              <w:adjustRightInd w:val="0"/>
              <w:spacing w:after="0" w:line="240" w:lineRule="auto"/>
              <w:jc w:val="center"/>
              <w:rPr>
                <w:szCs w:val="24"/>
              </w:rPr>
            </w:pPr>
            <w:r>
              <w:rPr>
                <w:szCs w:val="24"/>
              </w:rPr>
              <w:t>(0.01)</w:t>
            </w:r>
          </w:p>
        </w:tc>
        <w:tc>
          <w:tcPr>
            <w:tcW w:w="792" w:type="pct"/>
            <w:tcBorders>
              <w:top w:val="nil"/>
              <w:left w:val="nil"/>
              <w:bottom w:val="nil"/>
              <w:right w:val="nil"/>
            </w:tcBorders>
          </w:tcPr>
          <w:p w14:paraId="2450BFE6" w14:textId="77777777" w:rsidR="000F16C4" w:rsidRDefault="000F16C4" w:rsidP="000972AF">
            <w:pPr>
              <w:widowControl w:val="0"/>
              <w:autoSpaceDE w:val="0"/>
              <w:autoSpaceDN w:val="0"/>
              <w:adjustRightInd w:val="0"/>
              <w:spacing w:after="0" w:line="240" w:lineRule="auto"/>
              <w:jc w:val="center"/>
              <w:rPr>
                <w:szCs w:val="24"/>
              </w:rPr>
            </w:pPr>
            <w:r>
              <w:rPr>
                <w:szCs w:val="24"/>
              </w:rPr>
              <w:t>(0.01)</w:t>
            </w:r>
          </w:p>
        </w:tc>
        <w:tc>
          <w:tcPr>
            <w:tcW w:w="596" w:type="pct"/>
            <w:tcBorders>
              <w:top w:val="nil"/>
              <w:left w:val="nil"/>
              <w:bottom w:val="nil"/>
              <w:right w:val="nil"/>
            </w:tcBorders>
          </w:tcPr>
          <w:p w14:paraId="48DE91ED" w14:textId="77777777" w:rsidR="000F16C4" w:rsidRDefault="000F16C4" w:rsidP="000972AF">
            <w:pPr>
              <w:widowControl w:val="0"/>
              <w:autoSpaceDE w:val="0"/>
              <w:autoSpaceDN w:val="0"/>
              <w:adjustRightInd w:val="0"/>
              <w:spacing w:after="0" w:line="240" w:lineRule="auto"/>
              <w:jc w:val="center"/>
              <w:rPr>
                <w:szCs w:val="24"/>
              </w:rPr>
            </w:pPr>
            <w:r>
              <w:rPr>
                <w:szCs w:val="24"/>
              </w:rPr>
              <w:t>(0.01)</w:t>
            </w:r>
          </w:p>
        </w:tc>
      </w:tr>
      <w:tr w:rsidR="000F16C4" w14:paraId="557F84F1" w14:textId="77777777" w:rsidTr="000972AF">
        <w:trPr>
          <w:jc w:val="center"/>
        </w:trPr>
        <w:tc>
          <w:tcPr>
            <w:tcW w:w="1601" w:type="pct"/>
            <w:tcBorders>
              <w:top w:val="nil"/>
              <w:left w:val="nil"/>
              <w:bottom w:val="nil"/>
              <w:right w:val="nil"/>
            </w:tcBorders>
          </w:tcPr>
          <w:p w14:paraId="61B37B78" w14:textId="77777777" w:rsidR="000F16C4" w:rsidRDefault="000F16C4" w:rsidP="000972AF">
            <w:pPr>
              <w:widowControl w:val="0"/>
              <w:autoSpaceDE w:val="0"/>
              <w:autoSpaceDN w:val="0"/>
              <w:adjustRightInd w:val="0"/>
              <w:spacing w:after="0" w:line="240" w:lineRule="auto"/>
              <w:rPr>
                <w:szCs w:val="24"/>
              </w:rPr>
            </w:pPr>
            <w:r>
              <w:rPr>
                <w:szCs w:val="24"/>
              </w:rPr>
              <w:t>Log no. of employees</w:t>
            </w:r>
          </w:p>
        </w:tc>
        <w:tc>
          <w:tcPr>
            <w:tcW w:w="596" w:type="pct"/>
            <w:tcBorders>
              <w:top w:val="nil"/>
              <w:left w:val="nil"/>
              <w:bottom w:val="nil"/>
              <w:right w:val="nil"/>
            </w:tcBorders>
          </w:tcPr>
          <w:p w14:paraId="3D948C4D" w14:textId="77777777" w:rsidR="000F16C4" w:rsidRDefault="000F16C4" w:rsidP="000972AF">
            <w:pPr>
              <w:widowControl w:val="0"/>
              <w:autoSpaceDE w:val="0"/>
              <w:autoSpaceDN w:val="0"/>
              <w:adjustRightInd w:val="0"/>
              <w:spacing w:after="0" w:line="240" w:lineRule="auto"/>
              <w:jc w:val="center"/>
              <w:rPr>
                <w:szCs w:val="24"/>
              </w:rPr>
            </w:pPr>
            <w:r>
              <w:rPr>
                <w:szCs w:val="24"/>
              </w:rPr>
              <w:t>0.99</w:t>
            </w:r>
          </w:p>
        </w:tc>
        <w:tc>
          <w:tcPr>
            <w:tcW w:w="819" w:type="pct"/>
            <w:tcBorders>
              <w:top w:val="nil"/>
              <w:left w:val="nil"/>
              <w:bottom w:val="nil"/>
              <w:right w:val="nil"/>
            </w:tcBorders>
          </w:tcPr>
          <w:p w14:paraId="06D73A6C" w14:textId="77777777" w:rsidR="000F16C4" w:rsidRDefault="000F16C4" w:rsidP="000972AF">
            <w:pPr>
              <w:widowControl w:val="0"/>
              <w:autoSpaceDE w:val="0"/>
              <w:autoSpaceDN w:val="0"/>
              <w:adjustRightInd w:val="0"/>
              <w:spacing w:after="0" w:line="240" w:lineRule="auto"/>
              <w:jc w:val="center"/>
              <w:rPr>
                <w:szCs w:val="24"/>
              </w:rPr>
            </w:pPr>
            <w:r>
              <w:rPr>
                <w:szCs w:val="24"/>
              </w:rPr>
              <w:t>0.97</w:t>
            </w:r>
          </w:p>
        </w:tc>
        <w:tc>
          <w:tcPr>
            <w:tcW w:w="596" w:type="pct"/>
            <w:tcBorders>
              <w:top w:val="nil"/>
              <w:left w:val="nil"/>
              <w:bottom w:val="nil"/>
              <w:right w:val="nil"/>
            </w:tcBorders>
          </w:tcPr>
          <w:p w14:paraId="09E8E98D" w14:textId="77777777" w:rsidR="000F16C4" w:rsidRDefault="000F16C4" w:rsidP="000972AF">
            <w:pPr>
              <w:widowControl w:val="0"/>
              <w:autoSpaceDE w:val="0"/>
              <w:autoSpaceDN w:val="0"/>
              <w:adjustRightInd w:val="0"/>
              <w:spacing w:after="0" w:line="240" w:lineRule="auto"/>
              <w:jc w:val="center"/>
              <w:rPr>
                <w:szCs w:val="24"/>
              </w:rPr>
            </w:pPr>
            <w:r>
              <w:rPr>
                <w:szCs w:val="24"/>
              </w:rPr>
              <w:t>1.04</w:t>
            </w:r>
          </w:p>
        </w:tc>
        <w:tc>
          <w:tcPr>
            <w:tcW w:w="792" w:type="pct"/>
            <w:tcBorders>
              <w:top w:val="nil"/>
              <w:left w:val="nil"/>
              <w:bottom w:val="nil"/>
              <w:right w:val="nil"/>
            </w:tcBorders>
          </w:tcPr>
          <w:p w14:paraId="47546F0F" w14:textId="77777777" w:rsidR="000F16C4" w:rsidRDefault="000F16C4" w:rsidP="000972AF">
            <w:pPr>
              <w:widowControl w:val="0"/>
              <w:autoSpaceDE w:val="0"/>
              <w:autoSpaceDN w:val="0"/>
              <w:adjustRightInd w:val="0"/>
              <w:spacing w:after="0" w:line="240" w:lineRule="auto"/>
              <w:jc w:val="center"/>
              <w:rPr>
                <w:szCs w:val="24"/>
              </w:rPr>
            </w:pPr>
            <w:r>
              <w:rPr>
                <w:szCs w:val="24"/>
              </w:rPr>
              <w:t>1.22***</w:t>
            </w:r>
          </w:p>
        </w:tc>
        <w:tc>
          <w:tcPr>
            <w:tcW w:w="596" w:type="pct"/>
            <w:tcBorders>
              <w:top w:val="nil"/>
              <w:left w:val="nil"/>
              <w:bottom w:val="nil"/>
              <w:right w:val="nil"/>
            </w:tcBorders>
          </w:tcPr>
          <w:p w14:paraId="0D356C11" w14:textId="77777777" w:rsidR="000F16C4" w:rsidRDefault="000F16C4" w:rsidP="000972AF">
            <w:pPr>
              <w:widowControl w:val="0"/>
              <w:autoSpaceDE w:val="0"/>
              <w:autoSpaceDN w:val="0"/>
              <w:adjustRightInd w:val="0"/>
              <w:spacing w:after="0" w:line="240" w:lineRule="auto"/>
              <w:jc w:val="center"/>
              <w:rPr>
                <w:szCs w:val="24"/>
              </w:rPr>
            </w:pPr>
            <w:r>
              <w:rPr>
                <w:szCs w:val="24"/>
              </w:rPr>
              <w:t>1.04</w:t>
            </w:r>
          </w:p>
        </w:tc>
      </w:tr>
      <w:tr w:rsidR="000F16C4" w14:paraId="10EC0777" w14:textId="77777777" w:rsidTr="000972AF">
        <w:trPr>
          <w:jc w:val="center"/>
        </w:trPr>
        <w:tc>
          <w:tcPr>
            <w:tcW w:w="1601" w:type="pct"/>
            <w:tcBorders>
              <w:top w:val="nil"/>
              <w:left w:val="nil"/>
              <w:bottom w:val="nil"/>
              <w:right w:val="nil"/>
            </w:tcBorders>
          </w:tcPr>
          <w:p w14:paraId="181BF74E" w14:textId="77777777" w:rsidR="000F16C4" w:rsidRDefault="000F16C4" w:rsidP="000972AF">
            <w:pPr>
              <w:widowControl w:val="0"/>
              <w:autoSpaceDE w:val="0"/>
              <w:autoSpaceDN w:val="0"/>
              <w:adjustRightInd w:val="0"/>
              <w:spacing w:after="0" w:line="240" w:lineRule="auto"/>
              <w:rPr>
                <w:szCs w:val="24"/>
              </w:rPr>
            </w:pPr>
          </w:p>
        </w:tc>
        <w:tc>
          <w:tcPr>
            <w:tcW w:w="596" w:type="pct"/>
            <w:tcBorders>
              <w:top w:val="nil"/>
              <w:left w:val="nil"/>
              <w:bottom w:val="nil"/>
              <w:right w:val="nil"/>
            </w:tcBorders>
          </w:tcPr>
          <w:p w14:paraId="03EB3871"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819" w:type="pct"/>
            <w:tcBorders>
              <w:top w:val="nil"/>
              <w:left w:val="nil"/>
              <w:bottom w:val="nil"/>
              <w:right w:val="nil"/>
            </w:tcBorders>
          </w:tcPr>
          <w:p w14:paraId="71E0F701"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596" w:type="pct"/>
            <w:tcBorders>
              <w:top w:val="nil"/>
              <w:left w:val="nil"/>
              <w:bottom w:val="nil"/>
              <w:right w:val="nil"/>
            </w:tcBorders>
          </w:tcPr>
          <w:p w14:paraId="5E70C4CB"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792" w:type="pct"/>
            <w:tcBorders>
              <w:top w:val="nil"/>
              <w:left w:val="nil"/>
              <w:bottom w:val="nil"/>
              <w:right w:val="nil"/>
            </w:tcBorders>
          </w:tcPr>
          <w:p w14:paraId="273A7B16" w14:textId="77777777" w:rsidR="000F16C4" w:rsidRDefault="000F16C4" w:rsidP="000972AF">
            <w:pPr>
              <w:widowControl w:val="0"/>
              <w:autoSpaceDE w:val="0"/>
              <w:autoSpaceDN w:val="0"/>
              <w:adjustRightInd w:val="0"/>
              <w:spacing w:after="0" w:line="240" w:lineRule="auto"/>
              <w:jc w:val="center"/>
              <w:rPr>
                <w:szCs w:val="24"/>
              </w:rPr>
            </w:pPr>
            <w:r>
              <w:rPr>
                <w:szCs w:val="24"/>
              </w:rPr>
              <w:t>(0.04)</w:t>
            </w:r>
          </w:p>
        </w:tc>
        <w:tc>
          <w:tcPr>
            <w:tcW w:w="596" w:type="pct"/>
            <w:tcBorders>
              <w:top w:val="nil"/>
              <w:left w:val="nil"/>
              <w:bottom w:val="nil"/>
              <w:right w:val="nil"/>
            </w:tcBorders>
          </w:tcPr>
          <w:p w14:paraId="0990BE95"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r>
      <w:tr w:rsidR="000F16C4" w14:paraId="2E6D34B9" w14:textId="77777777" w:rsidTr="000972AF">
        <w:trPr>
          <w:jc w:val="center"/>
        </w:trPr>
        <w:tc>
          <w:tcPr>
            <w:tcW w:w="1601" w:type="pct"/>
            <w:tcBorders>
              <w:top w:val="nil"/>
              <w:left w:val="nil"/>
              <w:bottom w:val="nil"/>
              <w:right w:val="nil"/>
            </w:tcBorders>
          </w:tcPr>
          <w:p w14:paraId="49E70F96" w14:textId="77777777" w:rsidR="000F16C4" w:rsidRDefault="000F16C4" w:rsidP="000972AF">
            <w:pPr>
              <w:widowControl w:val="0"/>
              <w:autoSpaceDE w:val="0"/>
              <w:autoSpaceDN w:val="0"/>
              <w:adjustRightInd w:val="0"/>
              <w:spacing w:after="0" w:line="240" w:lineRule="auto"/>
              <w:rPr>
                <w:szCs w:val="24"/>
              </w:rPr>
            </w:pPr>
            <w:r>
              <w:rPr>
                <w:szCs w:val="24"/>
              </w:rPr>
              <w:t>Log % of educated employees</w:t>
            </w:r>
          </w:p>
        </w:tc>
        <w:tc>
          <w:tcPr>
            <w:tcW w:w="596" w:type="pct"/>
            <w:tcBorders>
              <w:top w:val="nil"/>
              <w:left w:val="nil"/>
              <w:bottom w:val="nil"/>
              <w:right w:val="nil"/>
            </w:tcBorders>
          </w:tcPr>
          <w:p w14:paraId="404DBF8A" w14:textId="77777777" w:rsidR="000F16C4" w:rsidRDefault="000F16C4" w:rsidP="000972AF">
            <w:pPr>
              <w:widowControl w:val="0"/>
              <w:autoSpaceDE w:val="0"/>
              <w:autoSpaceDN w:val="0"/>
              <w:adjustRightInd w:val="0"/>
              <w:spacing w:after="0" w:line="240" w:lineRule="auto"/>
              <w:jc w:val="center"/>
              <w:rPr>
                <w:szCs w:val="24"/>
              </w:rPr>
            </w:pPr>
            <w:r>
              <w:rPr>
                <w:szCs w:val="24"/>
              </w:rPr>
              <w:t>2.43**</w:t>
            </w:r>
          </w:p>
        </w:tc>
        <w:tc>
          <w:tcPr>
            <w:tcW w:w="819" w:type="pct"/>
            <w:tcBorders>
              <w:top w:val="nil"/>
              <w:left w:val="nil"/>
              <w:bottom w:val="nil"/>
              <w:right w:val="nil"/>
            </w:tcBorders>
          </w:tcPr>
          <w:p w14:paraId="01B9E701" w14:textId="77777777" w:rsidR="000F16C4" w:rsidRDefault="000F16C4" w:rsidP="000972AF">
            <w:pPr>
              <w:widowControl w:val="0"/>
              <w:autoSpaceDE w:val="0"/>
              <w:autoSpaceDN w:val="0"/>
              <w:adjustRightInd w:val="0"/>
              <w:spacing w:after="0" w:line="240" w:lineRule="auto"/>
              <w:jc w:val="center"/>
              <w:rPr>
                <w:szCs w:val="24"/>
              </w:rPr>
            </w:pPr>
            <w:r>
              <w:rPr>
                <w:szCs w:val="24"/>
              </w:rPr>
              <w:t>2.39**</w:t>
            </w:r>
          </w:p>
        </w:tc>
        <w:tc>
          <w:tcPr>
            <w:tcW w:w="596" w:type="pct"/>
            <w:tcBorders>
              <w:top w:val="nil"/>
              <w:left w:val="nil"/>
              <w:bottom w:val="nil"/>
              <w:right w:val="nil"/>
            </w:tcBorders>
          </w:tcPr>
          <w:p w14:paraId="53DFCAFB" w14:textId="77777777" w:rsidR="000F16C4" w:rsidRDefault="000F16C4" w:rsidP="000972AF">
            <w:pPr>
              <w:widowControl w:val="0"/>
              <w:autoSpaceDE w:val="0"/>
              <w:autoSpaceDN w:val="0"/>
              <w:adjustRightInd w:val="0"/>
              <w:spacing w:after="0" w:line="240" w:lineRule="auto"/>
              <w:jc w:val="center"/>
              <w:rPr>
                <w:szCs w:val="24"/>
              </w:rPr>
            </w:pPr>
            <w:r>
              <w:rPr>
                <w:szCs w:val="24"/>
              </w:rPr>
              <w:t>1.58</w:t>
            </w:r>
          </w:p>
        </w:tc>
        <w:tc>
          <w:tcPr>
            <w:tcW w:w="792" w:type="pct"/>
            <w:tcBorders>
              <w:top w:val="nil"/>
              <w:left w:val="nil"/>
              <w:bottom w:val="nil"/>
              <w:right w:val="nil"/>
            </w:tcBorders>
          </w:tcPr>
          <w:p w14:paraId="4B7AF32D" w14:textId="77777777" w:rsidR="000F16C4" w:rsidRDefault="000F16C4" w:rsidP="000972AF">
            <w:pPr>
              <w:widowControl w:val="0"/>
              <w:autoSpaceDE w:val="0"/>
              <w:autoSpaceDN w:val="0"/>
              <w:adjustRightInd w:val="0"/>
              <w:spacing w:after="0" w:line="240" w:lineRule="auto"/>
              <w:jc w:val="center"/>
              <w:rPr>
                <w:szCs w:val="24"/>
              </w:rPr>
            </w:pPr>
            <w:r>
              <w:rPr>
                <w:szCs w:val="24"/>
              </w:rPr>
              <w:t>1.61</w:t>
            </w:r>
          </w:p>
        </w:tc>
        <w:tc>
          <w:tcPr>
            <w:tcW w:w="596" w:type="pct"/>
            <w:tcBorders>
              <w:top w:val="nil"/>
              <w:left w:val="nil"/>
              <w:bottom w:val="nil"/>
              <w:right w:val="nil"/>
            </w:tcBorders>
          </w:tcPr>
          <w:p w14:paraId="46CFD6B8" w14:textId="77777777" w:rsidR="000F16C4" w:rsidRDefault="000F16C4" w:rsidP="000972AF">
            <w:pPr>
              <w:widowControl w:val="0"/>
              <w:autoSpaceDE w:val="0"/>
              <w:autoSpaceDN w:val="0"/>
              <w:adjustRightInd w:val="0"/>
              <w:spacing w:after="0" w:line="240" w:lineRule="auto"/>
              <w:jc w:val="center"/>
              <w:rPr>
                <w:szCs w:val="24"/>
              </w:rPr>
            </w:pPr>
            <w:r>
              <w:rPr>
                <w:szCs w:val="24"/>
              </w:rPr>
              <w:t>1.59</w:t>
            </w:r>
          </w:p>
        </w:tc>
      </w:tr>
      <w:tr w:rsidR="000F16C4" w14:paraId="01C53DED" w14:textId="77777777" w:rsidTr="000972AF">
        <w:trPr>
          <w:jc w:val="center"/>
        </w:trPr>
        <w:tc>
          <w:tcPr>
            <w:tcW w:w="1601" w:type="pct"/>
            <w:tcBorders>
              <w:top w:val="nil"/>
              <w:left w:val="nil"/>
              <w:bottom w:val="nil"/>
              <w:right w:val="nil"/>
            </w:tcBorders>
          </w:tcPr>
          <w:p w14:paraId="2E8C7BEB" w14:textId="77777777" w:rsidR="000F16C4" w:rsidRDefault="000F16C4" w:rsidP="000972AF">
            <w:pPr>
              <w:widowControl w:val="0"/>
              <w:autoSpaceDE w:val="0"/>
              <w:autoSpaceDN w:val="0"/>
              <w:adjustRightInd w:val="0"/>
              <w:spacing w:after="0" w:line="240" w:lineRule="auto"/>
              <w:rPr>
                <w:szCs w:val="24"/>
              </w:rPr>
            </w:pPr>
          </w:p>
        </w:tc>
        <w:tc>
          <w:tcPr>
            <w:tcW w:w="596" w:type="pct"/>
            <w:tcBorders>
              <w:top w:val="nil"/>
              <w:left w:val="nil"/>
              <w:bottom w:val="nil"/>
              <w:right w:val="nil"/>
            </w:tcBorders>
          </w:tcPr>
          <w:p w14:paraId="5E7AB0A0" w14:textId="77777777" w:rsidR="000F16C4" w:rsidRDefault="000F16C4" w:rsidP="000972AF">
            <w:pPr>
              <w:widowControl w:val="0"/>
              <w:autoSpaceDE w:val="0"/>
              <w:autoSpaceDN w:val="0"/>
              <w:adjustRightInd w:val="0"/>
              <w:spacing w:after="0" w:line="240" w:lineRule="auto"/>
              <w:jc w:val="center"/>
              <w:rPr>
                <w:szCs w:val="24"/>
              </w:rPr>
            </w:pPr>
            <w:r>
              <w:rPr>
                <w:szCs w:val="24"/>
              </w:rPr>
              <w:t>(0.76)</w:t>
            </w:r>
          </w:p>
        </w:tc>
        <w:tc>
          <w:tcPr>
            <w:tcW w:w="819" w:type="pct"/>
            <w:tcBorders>
              <w:top w:val="nil"/>
              <w:left w:val="nil"/>
              <w:bottom w:val="nil"/>
              <w:right w:val="nil"/>
            </w:tcBorders>
          </w:tcPr>
          <w:p w14:paraId="23D6C431" w14:textId="77777777" w:rsidR="000F16C4" w:rsidRDefault="000F16C4" w:rsidP="000972AF">
            <w:pPr>
              <w:widowControl w:val="0"/>
              <w:autoSpaceDE w:val="0"/>
              <w:autoSpaceDN w:val="0"/>
              <w:adjustRightInd w:val="0"/>
              <w:spacing w:after="0" w:line="240" w:lineRule="auto"/>
              <w:jc w:val="center"/>
              <w:rPr>
                <w:szCs w:val="24"/>
              </w:rPr>
            </w:pPr>
            <w:r>
              <w:rPr>
                <w:szCs w:val="24"/>
              </w:rPr>
              <w:t>(0.79)</w:t>
            </w:r>
          </w:p>
        </w:tc>
        <w:tc>
          <w:tcPr>
            <w:tcW w:w="596" w:type="pct"/>
            <w:tcBorders>
              <w:top w:val="nil"/>
              <w:left w:val="nil"/>
              <w:bottom w:val="nil"/>
              <w:right w:val="nil"/>
            </w:tcBorders>
          </w:tcPr>
          <w:p w14:paraId="01314C05" w14:textId="77777777" w:rsidR="000F16C4" w:rsidRDefault="000F16C4" w:rsidP="000972AF">
            <w:pPr>
              <w:widowControl w:val="0"/>
              <w:autoSpaceDE w:val="0"/>
              <w:autoSpaceDN w:val="0"/>
              <w:adjustRightInd w:val="0"/>
              <w:spacing w:after="0" w:line="240" w:lineRule="auto"/>
              <w:jc w:val="center"/>
              <w:rPr>
                <w:szCs w:val="24"/>
              </w:rPr>
            </w:pPr>
            <w:r>
              <w:rPr>
                <w:szCs w:val="24"/>
              </w:rPr>
              <w:t>(0.48)</w:t>
            </w:r>
          </w:p>
        </w:tc>
        <w:tc>
          <w:tcPr>
            <w:tcW w:w="792" w:type="pct"/>
            <w:tcBorders>
              <w:top w:val="nil"/>
              <w:left w:val="nil"/>
              <w:bottom w:val="nil"/>
              <w:right w:val="nil"/>
            </w:tcBorders>
          </w:tcPr>
          <w:p w14:paraId="5B3E027A" w14:textId="77777777" w:rsidR="000F16C4" w:rsidRDefault="000F16C4" w:rsidP="000972AF">
            <w:pPr>
              <w:widowControl w:val="0"/>
              <w:autoSpaceDE w:val="0"/>
              <w:autoSpaceDN w:val="0"/>
              <w:adjustRightInd w:val="0"/>
              <w:spacing w:after="0" w:line="240" w:lineRule="auto"/>
              <w:jc w:val="center"/>
              <w:rPr>
                <w:szCs w:val="24"/>
              </w:rPr>
            </w:pPr>
            <w:r>
              <w:rPr>
                <w:szCs w:val="24"/>
              </w:rPr>
              <w:t>(0.52)</w:t>
            </w:r>
          </w:p>
        </w:tc>
        <w:tc>
          <w:tcPr>
            <w:tcW w:w="596" w:type="pct"/>
            <w:tcBorders>
              <w:top w:val="nil"/>
              <w:left w:val="nil"/>
              <w:bottom w:val="nil"/>
              <w:right w:val="nil"/>
            </w:tcBorders>
          </w:tcPr>
          <w:p w14:paraId="74F1F808" w14:textId="77777777" w:rsidR="000F16C4" w:rsidRDefault="000F16C4" w:rsidP="000972AF">
            <w:pPr>
              <w:widowControl w:val="0"/>
              <w:autoSpaceDE w:val="0"/>
              <w:autoSpaceDN w:val="0"/>
              <w:adjustRightInd w:val="0"/>
              <w:spacing w:after="0" w:line="240" w:lineRule="auto"/>
              <w:jc w:val="center"/>
              <w:rPr>
                <w:szCs w:val="24"/>
              </w:rPr>
            </w:pPr>
            <w:r>
              <w:rPr>
                <w:szCs w:val="24"/>
              </w:rPr>
              <w:t>(0.49)</w:t>
            </w:r>
          </w:p>
        </w:tc>
      </w:tr>
      <w:tr w:rsidR="000F16C4" w14:paraId="76EF58E7" w14:textId="77777777" w:rsidTr="000972AF">
        <w:trPr>
          <w:jc w:val="center"/>
        </w:trPr>
        <w:tc>
          <w:tcPr>
            <w:tcW w:w="1601" w:type="pct"/>
            <w:tcBorders>
              <w:top w:val="nil"/>
              <w:left w:val="nil"/>
              <w:bottom w:val="nil"/>
              <w:right w:val="nil"/>
            </w:tcBorders>
          </w:tcPr>
          <w:p w14:paraId="06E559AF" w14:textId="77777777" w:rsidR="000F16C4" w:rsidRDefault="000F16C4" w:rsidP="000972AF">
            <w:pPr>
              <w:widowControl w:val="0"/>
              <w:autoSpaceDE w:val="0"/>
              <w:autoSpaceDN w:val="0"/>
              <w:adjustRightInd w:val="0"/>
              <w:spacing w:after="0" w:line="240" w:lineRule="auto"/>
              <w:rPr>
                <w:szCs w:val="24"/>
              </w:rPr>
            </w:pPr>
            <w:r>
              <w:rPr>
                <w:szCs w:val="24"/>
              </w:rPr>
              <w:t>Industry FE</w:t>
            </w:r>
          </w:p>
        </w:tc>
        <w:tc>
          <w:tcPr>
            <w:tcW w:w="596" w:type="pct"/>
            <w:tcBorders>
              <w:top w:val="nil"/>
              <w:left w:val="nil"/>
              <w:bottom w:val="nil"/>
              <w:right w:val="nil"/>
            </w:tcBorders>
          </w:tcPr>
          <w:p w14:paraId="27AE44FA"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c>
          <w:tcPr>
            <w:tcW w:w="819" w:type="pct"/>
            <w:tcBorders>
              <w:top w:val="nil"/>
              <w:left w:val="nil"/>
              <w:bottom w:val="nil"/>
              <w:right w:val="nil"/>
            </w:tcBorders>
          </w:tcPr>
          <w:p w14:paraId="6398F058"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c>
          <w:tcPr>
            <w:tcW w:w="596" w:type="pct"/>
            <w:tcBorders>
              <w:top w:val="nil"/>
              <w:left w:val="nil"/>
              <w:bottom w:val="nil"/>
              <w:right w:val="nil"/>
            </w:tcBorders>
          </w:tcPr>
          <w:p w14:paraId="7D494023"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c>
          <w:tcPr>
            <w:tcW w:w="792" w:type="pct"/>
            <w:tcBorders>
              <w:top w:val="nil"/>
              <w:left w:val="nil"/>
              <w:bottom w:val="nil"/>
              <w:right w:val="nil"/>
            </w:tcBorders>
          </w:tcPr>
          <w:p w14:paraId="7E2E70E7"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c>
          <w:tcPr>
            <w:tcW w:w="596" w:type="pct"/>
            <w:tcBorders>
              <w:top w:val="nil"/>
              <w:left w:val="nil"/>
              <w:bottom w:val="nil"/>
              <w:right w:val="nil"/>
            </w:tcBorders>
          </w:tcPr>
          <w:p w14:paraId="56AE473A"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r>
      <w:tr w:rsidR="000F16C4" w14:paraId="07D4AB43" w14:textId="77777777" w:rsidTr="000972AF">
        <w:trPr>
          <w:jc w:val="center"/>
        </w:trPr>
        <w:tc>
          <w:tcPr>
            <w:tcW w:w="1601" w:type="pct"/>
            <w:tcBorders>
              <w:top w:val="nil"/>
              <w:left w:val="nil"/>
              <w:bottom w:val="nil"/>
              <w:right w:val="nil"/>
            </w:tcBorders>
          </w:tcPr>
          <w:p w14:paraId="57329824" w14:textId="77777777" w:rsidR="000F16C4" w:rsidRDefault="000F16C4" w:rsidP="000972AF">
            <w:pPr>
              <w:widowControl w:val="0"/>
              <w:autoSpaceDE w:val="0"/>
              <w:autoSpaceDN w:val="0"/>
              <w:adjustRightInd w:val="0"/>
              <w:spacing w:after="0" w:line="240" w:lineRule="auto"/>
              <w:rPr>
                <w:szCs w:val="24"/>
              </w:rPr>
            </w:pPr>
            <w:r>
              <w:rPr>
                <w:szCs w:val="24"/>
              </w:rPr>
              <w:t>Time FE</w:t>
            </w:r>
          </w:p>
        </w:tc>
        <w:tc>
          <w:tcPr>
            <w:tcW w:w="596" w:type="pct"/>
            <w:tcBorders>
              <w:top w:val="nil"/>
              <w:left w:val="nil"/>
              <w:bottom w:val="nil"/>
              <w:right w:val="nil"/>
            </w:tcBorders>
          </w:tcPr>
          <w:p w14:paraId="4B039197"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c>
          <w:tcPr>
            <w:tcW w:w="819" w:type="pct"/>
            <w:tcBorders>
              <w:top w:val="nil"/>
              <w:left w:val="nil"/>
              <w:bottom w:val="nil"/>
              <w:right w:val="nil"/>
            </w:tcBorders>
          </w:tcPr>
          <w:p w14:paraId="62F53900"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c>
          <w:tcPr>
            <w:tcW w:w="596" w:type="pct"/>
            <w:tcBorders>
              <w:top w:val="nil"/>
              <w:left w:val="nil"/>
              <w:bottom w:val="nil"/>
              <w:right w:val="nil"/>
            </w:tcBorders>
          </w:tcPr>
          <w:p w14:paraId="7498AB75"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c>
          <w:tcPr>
            <w:tcW w:w="792" w:type="pct"/>
            <w:tcBorders>
              <w:top w:val="nil"/>
              <w:left w:val="nil"/>
              <w:bottom w:val="nil"/>
              <w:right w:val="nil"/>
            </w:tcBorders>
          </w:tcPr>
          <w:p w14:paraId="1FF6AE61"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c>
          <w:tcPr>
            <w:tcW w:w="596" w:type="pct"/>
            <w:tcBorders>
              <w:top w:val="nil"/>
              <w:left w:val="nil"/>
              <w:bottom w:val="nil"/>
              <w:right w:val="nil"/>
            </w:tcBorders>
          </w:tcPr>
          <w:p w14:paraId="558C70EA" w14:textId="77777777" w:rsidR="000F16C4" w:rsidRDefault="000F16C4" w:rsidP="000972AF">
            <w:pPr>
              <w:widowControl w:val="0"/>
              <w:autoSpaceDE w:val="0"/>
              <w:autoSpaceDN w:val="0"/>
              <w:adjustRightInd w:val="0"/>
              <w:spacing w:after="0" w:line="240" w:lineRule="auto"/>
              <w:jc w:val="center"/>
              <w:rPr>
                <w:szCs w:val="24"/>
              </w:rPr>
            </w:pPr>
            <w:r>
              <w:rPr>
                <w:szCs w:val="24"/>
              </w:rPr>
              <w:t>Included</w:t>
            </w:r>
          </w:p>
        </w:tc>
      </w:tr>
      <w:tr w:rsidR="000F16C4" w14:paraId="7E12C65D" w14:textId="77777777" w:rsidTr="000972AF">
        <w:trPr>
          <w:jc w:val="center"/>
        </w:trPr>
        <w:tc>
          <w:tcPr>
            <w:tcW w:w="1601" w:type="pct"/>
            <w:tcBorders>
              <w:top w:val="nil"/>
              <w:left w:val="nil"/>
              <w:bottom w:val="nil"/>
              <w:right w:val="nil"/>
            </w:tcBorders>
          </w:tcPr>
          <w:p w14:paraId="04BACC2F" w14:textId="77777777" w:rsidR="000F16C4" w:rsidRDefault="000F16C4" w:rsidP="000972AF">
            <w:pPr>
              <w:widowControl w:val="0"/>
              <w:autoSpaceDE w:val="0"/>
              <w:autoSpaceDN w:val="0"/>
              <w:adjustRightInd w:val="0"/>
              <w:spacing w:after="0" w:line="240" w:lineRule="auto"/>
              <w:rPr>
                <w:szCs w:val="24"/>
              </w:rPr>
            </w:pPr>
          </w:p>
        </w:tc>
        <w:tc>
          <w:tcPr>
            <w:tcW w:w="596" w:type="pct"/>
            <w:tcBorders>
              <w:top w:val="nil"/>
              <w:left w:val="nil"/>
              <w:bottom w:val="nil"/>
              <w:right w:val="nil"/>
            </w:tcBorders>
          </w:tcPr>
          <w:p w14:paraId="0D37EC50" w14:textId="77777777" w:rsidR="000F16C4" w:rsidRDefault="000F16C4" w:rsidP="000972AF">
            <w:pPr>
              <w:widowControl w:val="0"/>
              <w:autoSpaceDE w:val="0"/>
              <w:autoSpaceDN w:val="0"/>
              <w:adjustRightInd w:val="0"/>
              <w:spacing w:after="0" w:line="240" w:lineRule="auto"/>
              <w:jc w:val="center"/>
              <w:rPr>
                <w:szCs w:val="24"/>
              </w:rPr>
            </w:pPr>
          </w:p>
        </w:tc>
        <w:tc>
          <w:tcPr>
            <w:tcW w:w="819" w:type="pct"/>
            <w:tcBorders>
              <w:top w:val="nil"/>
              <w:left w:val="nil"/>
              <w:bottom w:val="nil"/>
              <w:right w:val="nil"/>
            </w:tcBorders>
          </w:tcPr>
          <w:p w14:paraId="3571663F" w14:textId="77777777" w:rsidR="000F16C4" w:rsidRDefault="000F16C4" w:rsidP="000972AF">
            <w:pPr>
              <w:widowControl w:val="0"/>
              <w:autoSpaceDE w:val="0"/>
              <w:autoSpaceDN w:val="0"/>
              <w:adjustRightInd w:val="0"/>
              <w:spacing w:after="0" w:line="240" w:lineRule="auto"/>
              <w:jc w:val="center"/>
              <w:rPr>
                <w:szCs w:val="24"/>
              </w:rPr>
            </w:pPr>
          </w:p>
        </w:tc>
        <w:tc>
          <w:tcPr>
            <w:tcW w:w="596" w:type="pct"/>
            <w:tcBorders>
              <w:top w:val="nil"/>
              <w:left w:val="nil"/>
              <w:bottom w:val="nil"/>
              <w:right w:val="nil"/>
            </w:tcBorders>
          </w:tcPr>
          <w:p w14:paraId="5A6C46AB" w14:textId="77777777" w:rsidR="000F16C4" w:rsidRDefault="000F16C4" w:rsidP="000972AF">
            <w:pPr>
              <w:widowControl w:val="0"/>
              <w:autoSpaceDE w:val="0"/>
              <w:autoSpaceDN w:val="0"/>
              <w:adjustRightInd w:val="0"/>
              <w:spacing w:after="0" w:line="240" w:lineRule="auto"/>
              <w:jc w:val="center"/>
              <w:rPr>
                <w:szCs w:val="24"/>
              </w:rPr>
            </w:pPr>
          </w:p>
        </w:tc>
        <w:tc>
          <w:tcPr>
            <w:tcW w:w="792" w:type="pct"/>
            <w:tcBorders>
              <w:top w:val="nil"/>
              <w:left w:val="nil"/>
              <w:bottom w:val="nil"/>
              <w:right w:val="nil"/>
            </w:tcBorders>
          </w:tcPr>
          <w:p w14:paraId="06DFE86A" w14:textId="77777777" w:rsidR="000F16C4" w:rsidRDefault="000F16C4" w:rsidP="000972AF">
            <w:pPr>
              <w:widowControl w:val="0"/>
              <w:autoSpaceDE w:val="0"/>
              <w:autoSpaceDN w:val="0"/>
              <w:adjustRightInd w:val="0"/>
              <w:spacing w:after="0" w:line="240" w:lineRule="auto"/>
              <w:jc w:val="center"/>
              <w:rPr>
                <w:szCs w:val="24"/>
              </w:rPr>
            </w:pPr>
          </w:p>
        </w:tc>
        <w:tc>
          <w:tcPr>
            <w:tcW w:w="596" w:type="pct"/>
            <w:tcBorders>
              <w:top w:val="nil"/>
              <w:left w:val="nil"/>
              <w:bottom w:val="nil"/>
              <w:right w:val="nil"/>
            </w:tcBorders>
          </w:tcPr>
          <w:p w14:paraId="56E3D943" w14:textId="77777777" w:rsidR="000F16C4" w:rsidRDefault="000F16C4" w:rsidP="000972AF">
            <w:pPr>
              <w:widowControl w:val="0"/>
              <w:autoSpaceDE w:val="0"/>
              <w:autoSpaceDN w:val="0"/>
              <w:adjustRightInd w:val="0"/>
              <w:spacing w:after="0" w:line="240" w:lineRule="auto"/>
              <w:jc w:val="center"/>
              <w:rPr>
                <w:szCs w:val="24"/>
              </w:rPr>
            </w:pPr>
          </w:p>
        </w:tc>
      </w:tr>
      <w:tr w:rsidR="000F16C4" w14:paraId="0778625A" w14:textId="77777777" w:rsidTr="000972AF">
        <w:trPr>
          <w:jc w:val="center"/>
        </w:trPr>
        <w:tc>
          <w:tcPr>
            <w:tcW w:w="1601" w:type="pct"/>
            <w:tcBorders>
              <w:top w:val="nil"/>
              <w:left w:val="nil"/>
              <w:bottom w:val="nil"/>
              <w:right w:val="nil"/>
            </w:tcBorders>
          </w:tcPr>
          <w:p w14:paraId="3150D49F" w14:textId="77777777" w:rsidR="000F16C4" w:rsidRDefault="000F16C4" w:rsidP="000972AF">
            <w:pPr>
              <w:widowControl w:val="0"/>
              <w:autoSpaceDE w:val="0"/>
              <w:autoSpaceDN w:val="0"/>
              <w:adjustRightInd w:val="0"/>
              <w:spacing w:after="0" w:line="240" w:lineRule="auto"/>
              <w:rPr>
                <w:szCs w:val="24"/>
              </w:rPr>
            </w:pPr>
            <w:r>
              <w:rPr>
                <w:szCs w:val="24"/>
              </w:rPr>
              <w:t>Constant</w:t>
            </w:r>
          </w:p>
        </w:tc>
        <w:tc>
          <w:tcPr>
            <w:tcW w:w="596" w:type="pct"/>
            <w:tcBorders>
              <w:top w:val="nil"/>
              <w:left w:val="nil"/>
              <w:bottom w:val="nil"/>
              <w:right w:val="nil"/>
            </w:tcBorders>
          </w:tcPr>
          <w:p w14:paraId="04F9B4E7" w14:textId="77777777" w:rsidR="000F16C4" w:rsidRDefault="000F16C4" w:rsidP="000972AF">
            <w:pPr>
              <w:widowControl w:val="0"/>
              <w:autoSpaceDE w:val="0"/>
              <w:autoSpaceDN w:val="0"/>
              <w:adjustRightInd w:val="0"/>
              <w:spacing w:after="0" w:line="240" w:lineRule="auto"/>
              <w:jc w:val="center"/>
              <w:rPr>
                <w:szCs w:val="24"/>
              </w:rPr>
            </w:pPr>
            <w:r>
              <w:rPr>
                <w:szCs w:val="24"/>
              </w:rPr>
              <w:t>0.04***</w:t>
            </w:r>
          </w:p>
        </w:tc>
        <w:tc>
          <w:tcPr>
            <w:tcW w:w="819" w:type="pct"/>
            <w:tcBorders>
              <w:top w:val="nil"/>
              <w:left w:val="nil"/>
              <w:bottom w:val="nil"/>
              <w:right w:val="nil"/>
            </w:tcBorders>
          </w:tcPr>
          <w:p w14:paraId="7A9DACEC"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596" w:type="pct"/>
            <w:tcBorders>
              <w:top w:val="nil"/>
              <w:left w:val="nil"/>
              <w:bottom w:val="nil"/>
              <w:right w:val="nil"/>
            </w:tcBorders>
          </w:tcPr>
          <w:p w14:paraId="0DFFE3FB" w14:textId="77777777" w:rsidR="000F16C4" w:rsidRDefault="000F16C4" w:rsidP="000972AF">
            <w:pPr>
              <w:widowControl w:val="0"/>
              <w:autoSpaceDE w:val="0"/>
              <w:autoSpaceDN w:val="0"/>
              <w:adjustRightInd w:val="0"/>
              <w:spacing w:after="0" w:line="240" w:lineRule="auto"/>
              <w:jc w:val="center"/>
              <w:rPr>
                <w:szCs w:val="24"/>
              </w:rPr>
            </w:pPr>
            <w:r>
              <w:rPr>
                <w:szCs w:val="24"/>
              </w:rPr>
              <w:t>0.11***</w:t>
            </w:r>
          </w:p>
        </w:tc>
        <w:tc>
          <w:tcPr>
            <w:tcW w:w="792" w:type="pct"/>
            <w:tcBorders>
              <w:top w:val="nil"/>
              <w:left w:val="nil"/>
              <w:bottom w:val="nil"/>
              <w:right w:val="nil"/>
            </w:tcBorders>
          </w:tcPr>
          <w:p w14:paraId="2CD9CC9B" w14:textId="77777777" w:rsidR="000F16C4" w:rsidRDefault="000F16C4" w:rsidP="000972AF">
            <w:pPr>
              <w:widowControl w:val="0"/>
              <w:autoSpaceDE w:val="0"/>
              <w:autoSpaceDN w:val="0"/>
              <w:adjustRightInd w:val="0"/>
              <w:spacing w:after="0" w:line="240" w:lineRule="auto"/>
              <w:jc w:val="center"/>
              <w:rPr>
                <w:szCs w:val="24"/>
              </w:rPr>
            </w:pPr>
            <w:r>
              <w:rPr>
                <w:szCs w:val="24"/>
              </w:rPr>
              <w:t>0.04***</w:t>
            </w:r>
          </w:p>
        </w:tc>
        <w:tc>
          <w:tcPr>
            <w:tcW w:w="596" w:type="pct"/>
            <w:tcBorders>
              <w:top w:val="nil"/>
              <w:left w:val="nil"/>
              <w:bottom w:val="nil"/>
              <w:right w:val="nil"/>
            </w:tcBorders>
          </w:tcPr>
          <w:p w14:paraId="3A8B2788" w14:textId="77777777" w:rsidR="000F16C4" w:rsidRDefault="000F16C4" w:rsidP="000972AF">
            <w:pPr>
              <w:widowControl w:val="0"/>
              <w:autoSpaceDE w:val="0"/>
              <w:autoSpaceDN w:val="0"/>
              <w:adjustRightInd w:val="0"/>
              <w:spacing w:after="0" w:line="240" w:lineRule="auto"/>
              <w:jc w:val="center"/>
              <w:rPr>
                <w:szCs w:val="24"/>
              </w:rPr>
            </w:pPr>
            <w:r>
              <w:rPr>
                <w:szCs w:val="24"/>
              </w:rPr>
              <w:t>0.06***</w:t>
            </w:r>
          </w:p>
        </w:tc>
      </w:tr>
      <w:tr w:rsidR="000F16C4" w14:paraId="15AEE1A6" w14:textId="77777777" w:rsidTr="000972AF">
        <w:trPr>
          <w:jc w:val="center"/>
        </w:trPr>
        <w:tc>
          <w:tcPr>
            <w:tcW w:w="1601" w:type="pct"/>
            <w:tcBorders>
              <w:top w:val="nil"/>
              <w:left w:val="nil"/>
              <w:bottom w:val="nil"/>
              <w:right w:val="nil"/>
            </w:tcBorders>
          </w:tcPr>
          <w:p w14:paraId="3061D749" w14:textId="77777777" w:rsidR="000F16C4" w:rsidRDefault="000F16C4" w:rsidP="000972AF">
            <w:pPr>
              <w:widowControl w:val="0"/>
              <w:autoSpaceDE w:val="0"/>
              <w:autoSpaceDN w:val="0"/>
              <w:adjustRightInd w:val="0"/>
              <w:spacing w:after="0" w:line="240" w:lineRule="auto"/>
              <w:rPr>
                <w:szCs w:val="24"/>
              </w:rPr>
            </w:pPr>
          </w:p>
        </w:tc>
        <w:tc>
          <w:tcPr>
            <w:tcW w:w="596" w:type="pct"/>
            <w:tcBorders>
              <w:top w:val="nil"/>
              <w:left w:val="nil"/>
              <w:bottom w:val="nil"/>
              <w:right w:val="nil"/>
            </w:tcBorders>
          </w:tcPr>
          <w:p w14:paraId="348CD506" w14:textId="77777777" w:rsidR="000F16C4" w:rsidRDefault="000F16C4" w:rsidP="000972AF">
            <w:pPr>
              <w:widowControl w:val="0"/>
              <w:autoSpaceDE w:val="0"/>
              <w:autoSpaceDN w:val="0"/>
              <w:adjustRightInd w:val="0"/>
              <w:spacing w:after="0" w:line="240" w:lineRule="auto"/>
              <w:jc w:val="center"/>
              <w:rPr>
                <w:szCs w:val="24"/>
              </w:rPr>
            </w:pPr>
            <w:r>
              <w:rPr>
                <w:szCs w:val="24"/>
              </w:rPr>
              <w:t>(0.01)</w:t>
            </w:r>
          </w:p>
        </w:tc>
        <w:tc>
          <w:tcPr>
            <w:tcW w:w="819" w:type="pct"/>
            <w:tcBorders>
              <w:top w:val="nil"/>
              <w:left w:val="nil"/>
              <w:bottom w:val="nil"/>
              <w:right w:val="nil"/>
            </w:tcBorders>
          </w:tcPr>
          <w:p w14:paraId="19D5284A" w14:textId="77777777" w:rsidR="000F16C4" w:rsidRDefault="000F16C4" w:rsidP="000972AF">
            <w:pPr>
              <w:widowControl w:val="0"/>
              <w:autoSpaceDE w:val="0"/>
              <w:autoSpaceDN w:val="0"/>
              <w:adjustRightInd w:val="0"/>
              <w:spacing w:after="0" w:line="240" w:lineRule="auto"/>
              <w:jc w:val="center"/>
              <w:rPr>
                <w:szCs w:val="24"/>
              </w:rPr>
            </w:pPr>
            <w:r>
              <w:rPr>
                <w:szCs w:val="24"/>
              </w:rPr>
              <w:t>(0.01)</w:t>
            </w:r>
          </w:p>
        </w:tc>
        <w:tc>
          <w:tcPr>
            <w:tcW w:w="596" w:type="pct"/>
            <w:tcBorders>
              <w:top w:val="nil"/>
              <w:left w:val="nil"/>
              <w:bottom w:val="nil"/>
              <w:right w:val="nil"/>
            </w:tcBorders>
          </w:tcPr>
          <w:p w14:paraId="217761F2" w14:textId="77777777" w:rsidR="000F16C4" w:rsidRDefault="000F16C4" w:rsidP="000972AF">
            <w:pPr>
              <w:widowControl w:val="0"/>
              <w:autoSpaceDE w:val="0"/>
              <w:autoSpaceDN w:val="0"/>
              <w:adjustRightInd w:val="0"/>
              <w:spacing w:after="0" w:line="240" w:lineRule="auto"/>
              <w:jc w:val="center"/>
              <w:rPr>
                <w:szCs w:val="24"/>
              </w:rPr>
            </w:pPr>
            <w:r>
              <w:rPr>
                <w:szCs w:val="24"/>
              </w:rPr>
              <w:t>(0.03)</w:t>
            </w:r>
          </w:p>
        </w:tc>
        <w:tc>
          <w:tcPr>
            <w:tcW w:w="792" w:type="pct"/>
            <w:tcBorders>
              <w:top w:val="nil"/>
              <w:left w:val="nil"/>
              <w:bottom w:val="nil"/>
              <w:right w:val="nil"/>
            </w:tcBorders>
          </w:tcPr>
          <w:p w14:paraId="7BF54A31" w14:textId="77777777" w:rsidR="000F16C4" w:rsidRDefault="000F16C4" w:rsidP="000972AF">
            <w:pPr>
              <w:widowControl w:val="0"/>
              <w:autoSpaceDE w:val="0"/>
              <w:autoSpaceDN w:val="0"/>
              <w:adjustRightInd w:val="0"/>
              <w:spacing w:after="0" w:line="240" w:lineRule="auto"/>
              <w:jc w:val="center"/>
              <w:rPr>
                <w:szCs w:val="24"/>
              </w:rPr>
            </w:pPr>
            <w:r>
              <w:rPr>
                <w:szCs w:val="24"/>
              </w:rPr>
              <w:t>(0.02)</w:t>
            </w:r>
          </w:p>
        </w:tc>
        <w:tc>
          <w:tcPr>
            <w:tcW w:w="596" w:type="pct"/>
            <w:tcBorders>
              <w:top w:val="nil"/>
              <w:left w:val="nil"/>
              <w:bottom w:val="nil"/>
              <w:right w:val="nil"/>
            </w:tcBorders>
          </w:tcPr>
          <w:p w14:paraId="0C2C2C5F" w14:textId="77777777" w:rsidR="000F16C4" w:rsidRDefault="000F16C4" w:rsidP="000972AF">
            <w:pPr>
              <w:widowControl w:val="0"/>
              <w:autoSpaceDE w:val="0"/>
              <w:autoSpaceDN w:val="0"/>
              <w:adjustRightInd w:val="0"/>
              <w:spacing w:after="0" w:line="240" w:lineRule="auto"/>
              <w:jc w:val="center"/>
              <w:rPr>
                <w:szCs w:val="24"/>
              </w:rPr>
            </w:pPr>
            <w:r>
              <w:rPr>
                <w:szCs w:val="24"/>
              </w:rPr>
              <w:t>(0.02)</w:t>
            </w:r>
          </w:p>
        </w:tc>
      </w:tr>
      <w:tr w:rsidR="000F16C4" w14:paraId="3182086E" w14:textId="77777777" w:rsidTr="000972AF">
        <w:trPr>
          <w:jc w:val="center"/>
        </w:trPr>
        <w:tc>
          <w:tcPr>
            <w:tcW w:w="1601" w:type="pct"/>
            <w:tcBorders>
              <w:top w:val="nil"/>
              <w:left w:val="nil"/>
              <w:bottom w:val="nil"/>
              <w:right w:val="nil"/>
            </w:tcBorders>
          </w:tcPr>
          <w:p w14:paraId="71136C6D" w14:textId="77777777" w:rsidR="000F16C4" w:rsidRDefault="000F16C4" w:rsidP="000972AF">
            <w:pPr>
              <w:widowControl w:val="0"/>
              <w:autoSpaceDE w:val="0"/>
              <w:autoSpaceDN w:val="0"/>
              <w:adjustRightInd w:val="0"/>
              <w:spacing w:after="0" w:line="240" w:lineRule="auto"/>
              <w:rPr>
                <w:szCs w:val="24"/>
              </w:rPr>
            </w:pPr>
          </w:p>
        </w:tc>
        <w:tc>
          <w:tcPr>
            <w:tcW w:w="596" w:type="pct"/>
            <w:tcBorders>
              <w:top w:val="nil"/>
              <w:left w:val="nil"/>
              <w:bottom w:val="nil"/>
              <w:right w:val="nil"/>
            </w:tcBorders>
          </w:tcPr>
          <w:p w14:paraId="11338A9C" w14:textId="77777777" w:rsidR="000F16C4" w:rsidRDefault="000F16C4" w:rsidP="000972AF">
            <w:pPr>
              <w:widowControl w:val="0"/>
              <w:autoSpaceDE w:val="0"/>
              <w:autoSpaceDN w:val="0"/>
              <w:adjustRightInd w:val="0"/>
              <w:spacing w:after="0" w:line="240" w:lineRule="auto"/>
              <w:jc w:val="center"/>
              <w:rPr>
                <w:szCs w:val="24"/>
              </w:rPr>
            </w:pPr>
          </w:p>
        </w:tc>
        <w:tc>
          <w:tcPr>
            <w:tcW w:w="819" w:type="pct"/>
            <w:tcBorders>
              <w:top w:val="nil"/>
              <w:left w:val="nil"/>
              <w:bottom w:val="nil"/>
              <w:right w:val="nil"/>
            </w:tcBorders>
          </w:tcPr>
          <w:p w14:paraId="015943A4" w14:textId="77777777" w:rsidR="000F16C4" w:rsidRDefault="000F16C4" w:rsidP="000972AF">
            <w:pPr>
              <w:widowControl w:val="0"/>
              <w:autoSpaceDE w:val="0"/>
              <w:autoSpaceDN w:val="0"/>
              <w:adjustRightInd w:val="0"/>
              <w:spacing w:after="0" w:line="240" w:lineRule="auto"/>
              <w:jc w:val="center"/>
              <w:rPr>
                <w:szCs w:val="24"/>
              </w:rPr>
            </w:pPr>
          </w:p>
        </w:tc>
        <w:tc>
          <w:tcPr>
            <w:tcW w:w="596" w:type="pct"/>
            <w:tcBorders>
              <w:top w:val="nil"/>
              <w:left w:val="nil"/>
              <w:bottom w:val="nil"/>
              <w:right w:val="nil"/>
            </w:tcBorders>
          </w:tcPr>
          <w:p w14:paraId="58848A32" w14:textId="77777777" w:rsidR="000F16C4" w:rsidRDefault="000F16C4" w:rsidP="000972AF">
            <w:pPr>
              <w:widowControl w:val="0"/>
              <w:autoSpaceDE w:val="0"/>
              <w:autoSpaceDN w:val="0"/>
              <w:adjustRightInd w:val="0"/>
              <w:spacing w:after="0" w:line="240" w:lineRule="auto"/>
              <w:jc w:val="center"/>
              <w:rPr>
                <w:szCs w:val="24"/>
              </w:rPr>
            </w:pPr>
          </w:p>
        </w:tc>
        <w:tc>
          <w:tcPr>
            <w:tcW w:w="792" w:type="pct"/>
            <w:tcBorders>
              <w:top w:val="nil"/>
              <w:left w:val="nil"/>
              <w:bottom w:val="nil"/>
              <w:right w:val="nil"/>
            </w:tcBorders>
          </w:tcPr>
          <w:p w14:paraId="6FB69307" w14:textId="77777777" w:rsidR="000F16C4" w:rsidRDefault="000F16C4" w:rsidP="000972AF">
            <w:pPr>
              <w:widowControl w:val="0"/>
              <w:autoSpaceDE w:val="0"/>
              <w:autoSpaceDN w:val="0"/>
              <w:adjustRightInd w:val="0"/>
              <w:spacing w:after="0" w:line="240" w:lineRule="auto"/>
              <w:jc w:val="center"/>
              <w:rPr>
                <w:szCs w:val="24"/>
              </w:rPr>
            </w:pPr>
          </w:p>
        </w:tc>
        <w:tc>
          <w:tcPr>
            <w:tcW w:w="596" w:type="pct"/>
            <w:tcBorders>
              <w:top w:val="nil"/>
              <w:left w:val="nil"/>
              <w:bottom w:val="nil"/>
              <w:right w:val="nil"/>
            </w:tcBorders>
          </w:tcPr>
          <w:p w14:paraId="4A336A4E" w14:textId="77777777" w:rsidR="000F16C4" w:rsidRDefault="000F16C4" w:rsidP="000972AF">
            <w:pPr>
              <w:widowControl w:val="0"/>
              <w:autoSpaceDE w:val="0"/>
              <w:autoSpaceDN w:val="0"/>
              <w:adjustRightInd w:val="0"/>
              <w:spacing w:after="0" w:line="240" w:lineRule="auto"/>
              <w:jc w:val="center"/>
              <w:rPr>
                <w:szCs w:val="24"/>
              </w:rPr>
            </w:pPr>
          </w:p>
        </w:tc>
      </w:tr>
      <w:tr w:rsidR="000F16C4" w14:paraId="2DCD49F2" w14:textId="77777777" w:rsidTr="000972AF">
        <w:trPr>
          <w:jc w:val="center"/>
        </w:trPr>
        <w:tc>
          <w:tcPr>
            <w:tcW w:w="1601" w:type="pct"/>
            <w:tcBorders>
              <w:top w:val="nil"/>
              <w:left w:val="nil"/>
              <w:bottom w:val="nil"/>
              <w:right w:val="nil"/>
            </w:tcBorders>
          </w:tcPr>
          <w:p w14:paraId="648A327C" w14:textId="77777777" w:rsidR="000F16C4" w:rsidRDefault="000F16C4" w:rsidP="000972AF">
            <w:pPr>
              <w:widowControl w:val="0"/>
              <w:autoSpaceDE w:val="0"/>
              <w:autoSpaceDN w:val="0"/>
              <w:adjustRightInd w:val="0"/>
              <w:spacing w:after="0" w:line="240" w:lineRule="auto"/>
              <w:rPr>
                <w:szCs w:val="24"/>
              </w:rPr>
            </w:pPr>
            <w:r>
              <w:rPr>
                <w:szCs w:val="24"/>
              </w:rPr>
              <w:t>N</w:t>
            </w:r>
          </w:p>
        </w:tc>
        <w:tc>
          <w:tcPr>
            <w:tcW w:w="596" w:type="pct"/>
            <w:tcBorders>
              <w:top w:val="nil"/>
              <w:left w:val="nil"/>
              <w:bottom w:val="nil"/>
              <w:right w:val="nil"/>
            </w:tcBorders>
          </w:tcPr>
          <w:p w14:paraId="24BFA6AD" w14:textId="77777777" w:rsidR="000F16C4" w:rsidRDefault="000F16C4" w:rsidP="000972AF">
            <w:pPr>
              <w:widowControl w:val="0"/>
              <w:autoSpaceDE w:val="0"/>
              <w:autoSpaceDN w:val="0"/>
              <w:adjustRightInd w:val="0"/>
              <w:spacing w:after="0" w:line="240" w:lineRule="auto"/>
              <w:jc w:val="center"/>
              <w:rPr>
                <w:szCs w:val="24"/>
              </w:rPr>
            </w:pPr>
            <w:r>
              <w:rPr>
                <w:szCs w:val="24"/>
              </w:rPr>
              <w:t>6,363</w:t>
            </w:r>
          </w:p>
        </w:tc>
        <w:tc>
          <w:tcPr>
            <w:tcW w:w="819" w:type="pct"/>
            <w:tcBorders>
              <w:top w:val="nil"/>
              <w:left w:val="nil"/>
              <w:bottom w:val="nil"/>
              <w:right w:val="nil"/>
            </w:tcBorders>
          </w:tcPr>
          <w:p w14:paraId="6769F657" w14:textId="77777777" w:rsidR="000F16C4" w:rsidRDefault="000F16C4" w:rsidP="000972AF">
            <w:pPr>
              <w:widowControl w:val="0"/>
              <w:autoSpaceDE w:val="0"/>
              <w:autoSpaceDN w:val="0"/>
              <w:adjustRightInd w:val="0"/>
              <w:spacing w:after="0" w:line="240" w:lineRule="auto"/>
              <w:jc w:val="center"/>
              <w:rPr>
                <w:szCs w:val="24"/>
              </w:rPr>
            </w:pPr>
            <w:r>
              <w:rPr>
                <w:szCs w:val="24"/>
              </w:rPr>
              <w:t>6,341</w:t>
            </w:r>
          </w:p>
        </w:tc>
        <w:tc>
          <w:tcPr>
            <w:tcW w:w="596" w:type="pct"/>
            <w:tcBorders>
              <w:top w:val="nil"/>
              <w:left w:val="nil"/>
              <w:bottom w:val="nil"/>
              <w:right w:val="nil"/>
            </w:tcBorders>
          </w:tcPr>
          <w:p w14:paraId="671C49FC" w14:textId="77777777" w:rsidR="000F16C4" w:rsidRDefault="000F16C4" w:rsidP="000972AF">
            <w:pPr>
              <w:widowControl w:val="0"/>
              <w:autoSpaceDE w:val="0"/>
              <w:autoSpaceDN w:val="0"/>
              <w:adjustRightInd w:val="0"/>
              <w:spacing w:after="0" w:line="240" w:lineRule="auto"/>
              <w:jc w:val="center"/>
              <w:rPr>
                <w:szCs w:val="24"/>
              </w:rPr>
            </w:pPr>
            <w:r>
              <w:rPr>
                <w:szCs w:val="24"/>
              </w:rPr>
              <w:t>6,378</w:t>
            </w:r>
          </w:p>
        </w:tc>
        <w:tc>
          <w:tcPr>
            <w:tcW w:w="792" w:type="pct"/>
            <w:tcBorders>
              <w:top w:val="nil"/>
              <w:left w:val="nil"/>
              <w:bottom w:val="nil"/>
              <w:right w:val="nil"/>
            </w:tcBorders>
          </w:tcPr>
          <w:p w14:paraId="434F3558" w14:textId="77777777" w:rsidR="000F16C4" w:rsidRDefault="000F16C4" w:rsidP="000972AF">
            <w:pPr>
              <w:widowControl w:val="0"/>
              <w:autoSpaceDE w:val="0"/>
              <w:autoSpaceDN w:val="0"/>
              <w:adjustRightInd w:val="0"/>
              <w:spacing w:after="0" w:line="240" w:lineRule="auto"/>
              <w:jc w:val="center"/>
              <w:rPr>
                <w:szCs w:val="24"/>
              </w:rPr>
            </w:pPr>
            <w:r>
              <w:rPr>
                <w:szCs w:val="24"/>
              </w:rPr>
              <w:t>4,907</w:t>
            </w:r>
          </w:p>
        </w:tc>
        <w:tc>
          <w:tcPr>
            <w:tcW w:w="596" w:type="pct"/>
            <w:tcBorders>
              <w:top w:val="nil"/>
              <w:left w:val="nil"/>
              <w:bottom w:val="nil"/>
              <w:right w:val="nil"/>
            </w:tcBorders>
          </w:tcPr>
          <w:p w14:paraId="50BE40EB" w14:textId="77777777" w:rsidR="000F16C4" w:rsidRDefault="000F16C4" w:rsidP="000972AF">
            <w:pPr>
              <w:widowControl w:val="0"/>
              <w:autoSpaceDE w:val="0"/>
              <w:autoSpaceDN w:val="0"/>
              <w:adjustRightInd w:val="0"/>
              <w:spacing w:after="0" w:line="240" w:lineRule="auto"/>
              <w:jc w:val="center"/>
              <w:rPr>
                <w:szCs w:val="24"/>
              </w:rPr>
            </w:pPr>
            <w:r>
              <w:rPr>
                <w:szCs w:val="24"/>
              </w:rPr>
              <w:t>5,667</w:t>
            </w:r>
          </w:p>
        </w:tc>
      </w:tr>
      <w:tr w:rsidR="000F16C4" w14:paraId="47E9DB2A" w14:textId="77777777" w:rsidTr="000972AF">
        <w:tblPrEx>
          <w:tblBorders>
            <w:bottom w:val="single" w:sz="6" w:space="0" w:color="auto"/>
          </w:tblBorders>
        </w:tblPrEx>
        <w:trPr>
          <w:jc w:val="center"/>
        </w:trPr>
        <w:tc>
          <w:tcPr>
            <w:tcW w:w="1601" w:type="pct"/>
            <w:tcBorders>
              <w:top w:val="nil"/>
              <w:left w:val="nil"/>
              <w:bottom w:val="single" w:sz="6" w:space="0" w:color="auto"/>
              <w:right w:val="nil"/>
            </w:tcBorders>
          </w:tcPr>
          <w:p w14:paraId="379A82D6" w14:textId="77777777" w:rsidR="000F16C4" w:rsidRDefault="000F16C4" w:rsidP="000972AF">
            <w:pPr>
              <w:widowControl w:val="0"/>
              <w:autoSpaceDE w:val="0"/>
              <w:autoSpaceDN w:val="0"/>
              <w:adjustRightInd w:val="0"/>
              <w:spacing w:after="0" w:line="240" w:lineRule="auto"/>
              <w:rPr>
                <w:szCs w:val="24"/>
              </w:rPr>
            </w:pPr>
            <w:r>
              <w:rPr>
                <w:szCs w:val="24"/>
              </w:rPr>
              <w:t>Pseudo R</w:t>
            </w:r>
            <w:r w:rsidRPr="00C861B5">
              <w:rPr>
                <w:szCs w:val="24"/>
                <w:vertAlign w:val="superscript"/>
              </w:rPr>
              <w:t>2</w:t>
            </w:r>
          </w:p>
        </w:tc>
        <w:tc>
          <w:tcPr>
            <w:tcW w:w="596" w:type="pct"/>
            <w:tcBorders>
              <w:top w:val="nil"/>
              <w:left w:val="nil"/>
              <w:bottom w:val="single" w:sz="6" w:space="0" w:color="auto"/>
              <w:right w:val="nil"/>
            </w:tcBorders>
          </w:tcPr>
          <w:p w14:paraId="3D9A0EE1" w14:textId="77777777" w:rsidR="000F16C4" w:rsidRDefault="000F16C4" w:rsidP="000972AF">
            <w:pPr>
              <w:widowControl w:val="0"/>
              <w:autoSpaceDE w:val="0"/>
              <w:autoSpaceDN w:val="0"/>
              <w:adjustRightInd w:val="0"/>
              <w:spacing w:after="0" w:line="240" w:lineRule="auto"/>
              <w:jc w:val="center"/>
              <w:rPr>
                <w:szCs w:val="24"/>
              </w:rPr>
            </w:pPr>
            <w:r>
              <w:rPr>
                <w:szCs w:val="24"/>
              </w:rPr>
              <w:t>0.30</w:t>
            </w:r>
          </w:p>
        </w:tc>
        <w:tc>
          <w:tcPr>
            <w:tcW w:w="819" w:type="pct"/>
            <w:tcBorders>
              <w:top w:val="nil"/>
              <w:left w:val="nil"/>
              <w:bottom w:val="single" w:sz="6" w:space="0" w:color="auto"/>
              <w:right w:val="nil"/>
            </w:tcBorders>
          </w:tcPr>
          <w:p w14:paraId="5A399DFC" w14:textId="77777777" w:rsidR="000F16C4" w:rsidRDefault="000F16C4" w:rsidP="000972AF">
            <w:pPr>
              <w:widowControl w:val="0"/>
              <w:autoSpaceDE w:val="0"/>
              <w:autoSpaceDN w:val="0"/>
              <w:adjustRightInd w:val="0"/>
              <w:spacing w:after="0" w:line="240" w:lineRule="auto"/>
              <w:jc w:val="center"/>
              <w:rPr>
                <w:szCs w:val="24"/>
              </w:rPr>
            </w:pPr>
            <w:r>
              <w:rPr>
                <w:szCs w:val="24"/>
              </w:rPr>
              <w:t>0.27</w:t>
            </w:r>
          </w:p>
        </w:tc>
        <w:tc>
          <w:tcPr>
            <w:tcW w:w="596" w:type="pct"/>
            <w:tcBorders>
              <w:top w:val="nil"/>
              <w:left w:val="nil"/>
              <w:bottom w:val="single" w:sz="6" w:space="0" w:color="auto"/>
              <w:right w:val="nil"/>
            </w:tcBorders>
          </w:tcPr>
          <w:p w14:paraId="6F6EBAFD" w14:textId="77777777" w:rsidR="000F16C4" w:rsidRDefault="000F16C4" w:rsidP="000972AF">
            <w:pPr>
              <w:widowControl w:val="0"/>
              <w:autoSpaceDE w:val="0"/>
              <w:autoSpaceDN w:val="0"/>
              <w:adjustRightInd w:val="0"/>
              <w:spacing w:after="0" w:line="240" w:lineRule="auto"/>
              <w:jc w:val="center"/>
              <w:rPr>
                <w:szCs w:val="24"/>
              </w:rPr>
            </w:pPr>
            <w:r>
              <w:rPr>
                <w:szCs w:val="24"/>
              </w:rPr>
              <w:t>0.15</w:t>
            </w:r>
          </w:p>
        </w:tc>
        <w:tc>
          <w:tcPr>
            <w:tcW w:w="792" w:type="pct"/>
            <w:tcBorders>
              <w:top w:val="nil"/>
              <w:left w:val="nil"/>
              <w:bottom w:val="single" w:sz="6" w:space="0" w:color="auto"/>
              <w:right w:val="nil"/>
            </w:tcBorders>
          </w:tcPr>
          <w:p w14:paraId="06087213" w14:textId="77777777" w:rsidR="000F16C4" w:rsidRDefault="000F16C4" w:rsidP="000972AF">
            <w:pPr>
              <w:widowControl w:val="0"/>
              <w:autoSpaceDE w:val="0"/>
              <w:autoSpaceDN w:val="0"/>
              <w:adjustRightInd w:val="0"/>
              <w:spacing w:after="0" w:line="240" w:lineRule="auto"/>
              <w:jc w:val="center"/>
              <w:rPr>
                <w:szCs w:val="24"/>
              </w:rPr>
            </w:pPr>
            <w:r>
              <w:rPr>
                <w:szCs w:val="24"/>
              </w:rPr>
              <w:t>0.10</w:t>
            </w:r>
          </w:p>
        </w:tc>
        <w:tc>
          <w:tcPr>
            <w:tcW w:w="596" w:type="pct"/>
            <w:tcBorders>
              <w:top w:val="nil"/>
              <w:left w:val="nil"/>
              <w:bottom w:val="single" w:sz="6" w:space="0" w:color="auto"/>
              <w:right w:val="nil"/>
            </w:tcBorders>
          </w:tcPr>
          <w:p w14:paraId="0D0D079D" w14:textId="77777777" w:rsidR="000F16C4" w:rsidRDefault="000F16C4" w:rsidP="000972AF">
            <w:pPr>
              <w:widowControl w:val="0"/>
              <w:autoSpaceDE w:val="0"/>
              <w:autoSpaceDN w:val="0"/>
              <w:adjustRightInd w:val="0"/>
              <w:spacing w:after="0" w:line="240" w:lineRule="auto"/>
              <w:jc w:val="center"/>
              <w:rPr>
                <w:szCs w:val="24"/>
              </w:rPr>
            </w:pPr>
            <w:r>
              <w:rPr>
                <w:szCs w:val="24"/>
              </w:rPr>
              <w:t>0.15</w:t>
            </w:r>
          </w:p>
        </w:tc>
      </w:tr>
    </w:tbl>
    <w:p w14:paraId="7189BEE2" w14:textId="77777777" w:rsidR="000F16C4" w:rsidRPr="00406E9B" w:rsidRDefault="000F16C4" w:rsidP="000F16C4">
      <w:pPr>
        <w:widowControl w:val="0"/>
        <w:autoSpaceDE w:val="0"/>
        <w:autoSpaceDN w:val="0"/>
        <w:adjustRightInd w:val="0"/>
        <w:spacing w:after="0" w:line="240" w:lineRule="auto"/>
        <w:jc w:val="center"/>
        <w:rPr>
          <w:szCs w:val="24"/>
          <w:lang w:val="en-GB"/>
        </w:rPr>
      </w:pPr>
      <w:r>
        <w:rPr>
          <w:szCs w:val="24"/>
          <w:lang w:val="en-GB"/>
        </w:rPr>
        <w:t xml:space="preserve">Odds ratios. </w:t>
      </w:r>
      <w:r w:rsidRPr="00406E9B">
        <w:rPr>
          <w:szCs w:val="24"/>
          <w:lang w:val="en-GB"/>
        </w:rPr>
        <w:t xml:space="preserve">Robust </w:t>
      </w:r>
      <w:r>
        <w:rPr>
          <w:szCs w:val="24"/>
          <w:lang w:val="en-GB"/>
        </w:rPr>
        <w:t>standard errors (clustered over firms)</w:t>
      </w:r>
      <w:r w:rsidRPr="00406E9B">
        <w:rPr>
          <w:szCs w:val="24"/>
          <w:lang w:val="en-GB"/>
        </w:rPr>
        <w:t xml:space="preserve"> in parentheses</w:t>
      </w:r>
      <w:r>
        <w:rPr>
          <w:szCs w:val="24"/>
          <w:lang w:val="en-GB"/>
        </w:rPr>
        <w:t>.</w:t>
      </w:r>
    </w:p>
    <w:p w14:paraId="4C6CE221" w14:textId="77777777" w:rsidR="000F16C4" w:rsidRPr="00406E9B" w:rsidRDefault="000F16C4" w:rsidP="000F16C4">
      <w:pPr>
        <w:widowControl w:val="0"/>
        <w:autoSpaceDE w:val="0"/>
        <w:autoSpaceDN w:val="0"/>
        <w:adjustRightInd w:val="0"/>
        <w:spacing w:after="0" w:line="240" w:lineRule="auto"/>
        <w:jc w:val="center"/>
        <w:rPr>
          <w:szCs w:val="24"/>
          <w:lang w:val="en-GB"/>
        </w:rPr>
      </w:pPr>
      <w:r w:rsidRPr="00406E9B">
        <w:rPr>
          <w:szCs w:val="24"/>
          <w:lang w:val="en-GB"/>
        </w:rPr>
        <w:t>*** p&lt;.001, ** p&lt;.01, * p&lt;.05, + p&lt;.10</w:t>
      </w:r>
    </w:p>
    <w:p w14:paraId="082BF9E9" w14:textId="77777777" w:rsidR="000F16C4" w:rsidRDefault="000F16C4" w:rsidP="00C43B94">
      <w:pPr>
        <w:spacing w:line="480" w:lineRule="auto"/>
        <w:rPr>
          <w:lang w:val="en-GB"/>
        </w:rPr>
      </w:pPr>
    </w:p>
    <w:p w14:paraId="3904A638" w14:textId="71FA56A4" w:rsidR="000577FA" w:rsidRPr="000050B8" w:rsidRDefault="00530CD5" w:rsidP="00C43B94">
      <w:pPr>
        <w:spacing w:line="480" w:lineRule="auto"/>
        <w:rPr>
          <w:lang w:val="en-GB"/>
        </w:rPr>
      </w:pPr>
      <w:r w:rsidRPr="000050B8">
        <w:rPr>
          <w:lang w:val="en-GB"/>
        </w:rPr>
        <w:t>The</w:t>
      </w:r>
      <w:r w:rsidR="008C1E50" w:rsidRPr="000050B8">
        <w:rPr>
          <w:lang w:val="en-GB"/>
        </w:rPr>
        <w:t xml:space="preserve"> interaction terms between regional partners and location </w:t>
      </w:r>
      <w:r w:rsidR="009C2A3E" w:rsidRPr="000050B8">
        <w:rPr>
          <w:lang w:val="en-GB"/>
        </w:rPr>
        <w:t>are mostly insignificant and</w:t>
      </w:r>
      <w:r w:rsidR="008C1E50" w:rsidRPr="000050B8">
        <w:rPr>
          <w:lang w:val="en-GB"/>
        </w:rPr>
        <w:t xml:space="preserve"> indicate that the impact of regional collaboration is </w:t>
      </w:r>
      <w:r w:rsidR="00FF6079" w:rsidRPr="000050B8">
        <w:rPr>
          <w:lang w:val="en-GB"/>
        </w:rPr>
        <w:t>un</w:t>
      </w:r>
      <w:r w:rsidR="008C1E50" w:rsidRPr="000050B8">
        <w:rPr>
          <w:lang w:val="en-GB"/>
        </w:rPr>
        <w:t xml:space="preserve">affected by the location of the firm. </w:t>
      </w:r>
      <w:r w:rsidR="008C1E50" w:rsidRPr="000050B8">
        <w:rPr>
          <w:lang w:val="en-GB"/>
        </w:rPr>
        <w:lastRenderedPageBreak/>
        <w:t xml:space="preserve">There </w:t>
      </w:r>
      <w:r w:rsidR="002D3195">
        <w:rPr>
          <w:lang w:val="en-GB"/>
        </w:rPr>
        <w:t>are</w:t>
      </w:r>
      <w:r w:rsidR="002D3195" w:rsidRPr="000050B8">
        <w:rPr>
          <w:lang w:val="en-GB"/>
        </w:rPr>
        <w:t xml:space="preserve"> </w:t>
      </w:r>
      <w:r w:rsidR="008C1E50" w:rsidRPr="000050B8">
        <w:rPr>
          <w:lang w:val="en-GB"/>
        </w:rPr>
        <w:t xml:space="preserve">only </w:t>
      </w:r>
      <w:r w:rsidR="002D3195">
        <w:rPr>
          <w:lang w:val="en-GB"/>
        </w:rPr>
        <w:t>two</w:t>
      </w:r>
      <w:r w:rsidR="002D3195" w:rsidRPr="000050B8">
        <w:rPr>
          <w:lang w:val="en-GB"/>
        </w:rPr>
        <w:t xml:space="preserve"> </w:t>
      </w:r>
      <w:r w:rsidR="008C1E50" w:rsidRPr="000050B8">
        <w:rPr>
          <w:lang w:val="en-GB"/>
        </w:rPr>
        <w:t xml:space="preserve">statistically significant </w:t>
      </w:r>
      <w:r w:rsidR="000E7597">
        <w:rPr>
          <w:lang w:val="en-GB"/>
        </w:rPr>
        <w:t>odds ratio</w:t>
      </w:r>
      <w:r w:rsidR="002D3195">
        <w:rPr>
          <w:lang w:val="en-GB"/>
        </w:rPr>
        <w:t>s</w:t>
      </w:r>
      <w:r w:rsidR="008C1E50" w:rsidRPr="000050B8">
        <w:rPr>
          <w:lang w:val="en-GB"/>
        </w:rPr>
        <w:t xml:space="preserve"> in the interaction terms –</w:t>
      </w:r>
      <w:r w:rsidR="00362452">
        <w:rPr>
          <w:lang w:val="en-GB"/>
        </w:rPr>
        <w:t xml:space="preserve"> </w:t>
      </w:r>
      <w:r w:rsidR="008C1E50" w:rsidRPr="000050B8">
        <w:rPr>
          <w:lang w:val="en-GB"/>
        </w:rPr>
        <w:t>negative interaction</w:t>
      </w:r>
      <w:r w:rsidR="00362452">
        <w:rPr>
          <w:lang w:val="en-GB"/>
        </w:rPr>
        <w:t>s</w:t>
      </w:r>
      <w:r w:rsidR="008C1E50" w:rsidRPr="000050B8">
        <w:rPr>
          <w:lang w:val="en-GB"/>
        </w:rPr>
        <w:t xml:space="preserve"> between regional partners and location in small city regions for </w:t>
      </w:r>
      <w:r w:rsidR="002D3195">
        <w:rPr>
          <w:lang w:val="en-GB"/>
        </w:rPr>
        <w:t xml:space="preserve">product and </w:t>
      </w:r>
      <w:r w:rsidR="008C1E50" w:rsidRPr="000050B8">
        <w:rPr>
          <w:lang w:val="en-GB"/>
        </w:rPr>
        <w:t>new-to-market product innovation.</w:t>
      </w:r>
      <w:r w:rsidR="00573741" w:rsidRPr="000050B8">
        <w:rPr>
          <w:lang w:val="en-GB"/>
        </w:rPr>
        <w:t xml:space="preserve"> For location in big city regions, where the most beneficial effects of regional collaboration were expected, </w:t>
      </w:r>
      <w:r w:rsidR="00A908D7" w:rsidRPr="000050B8">
        <w:rPr>
          <w:lang w:val="en-GB"/>
        </w:rPr>
        <w:t xml:space="preserve">the interaction terms </w:t>
      </w:r>
      <w:r w:rsidR="00BB512D" w:rsidRPr="000050B8">
        <w:rPr>
          <w:lang w:val="en-GB"/>
        </w:rPr>
        <w:t xml:space="preserve">mostly </w:t>
      </w:r>
      <w:r w:rsidR="00A908D7" w:rsidRPr="000050B8">
        <w:rPr>
          <w:lang w:val="en-GB"/>
        </w:rPr>
        <w:t xml:space="preserve">have </w:t>
      </w:r>
      <w:r w:rsidR="00BB512D" w:rsidRPr="000050B8">
        <w:rPr>
          <w:lang w:val="en-GB"/>
        </w:rPr>
        <w:t xml:space="preserve">non-significant </w:t>
      </w:r>
      <w:r w:rsidR="00A908D7" w:rsidRPr="000050B8">
        <w:rPr>
          <w:lang w:val="en-GB"/>
        </w:rPr>
        <w:t xml:space="preserve">negative </w:t>
      </w:r>
      <w:r w:rsidR="000E7597">
        <w:rPr>
          <w:lang w:val="en-GB"/>
        </w:rPr>
        <w:t>odds ratio</w:t>
      </w:r>
      <w:r w:rsidR="00A908D7" w:rsidRPr="000050B8">
        <w:rPr>
          <w:lang w:val="en-GB"/>
        </w:rPr>
        <w:t xml:space="preserve">s compared to the baseline of </w:t>
      </w:r>
      <w:r w:rsidR="00D840CF">
        <w:rPr>
          <w:lang w:val="en-GB"/>
        </w:rPr>
        <w:t>rural</w:t>
      </w:r>
      <w:r w:rsidR="00A908D7" w:rsidRPr="000050B8">
        <w:rPr>
          <w:lang w:val="en-GB"/>
        </w:rPr>
        <w:t xml:space="preserve"> regions.</w:t>
      </w:r>
      <w:r w:rsidR="00FC79DF" w:rsidRPr="000050B8">
        <w:rPr>
          <w:lang w:val="en-GB"/>
        </w:rPr>
        <w:t xml:space="preserve"> Table 6 furthermore shows the average marginal effects of </w:t>
      </w:r>
      <w:r w:rsidR="00FC79DF" w:rsidRPr="000050B8">
        <w:rPr>
          <w:i/>
          <w:lang w:val="en-GB"/>
        </w:rPr>
        <w:t>Regional partners</w:t>
      </w:r>
      <w:r w:rsidR="00FC79DF" w:rsidRPr="000050B8">
        <w:rPr>
          <w:lang w:val="en-GB"/>
        </w:rPr>
        <w:t xml:space="preserve"> for different locations</w:t>
      </w:r>
      <w:r w:rsidR="00D471CF" w:rsidRPr="000050B8">
        <w:rPr>
          <w:lang w:val="en-GB"/>
        </w:rPr>
        <w:t xml:space="preserve"> (Williams</w:t>
      </w:r>
      <w:r w:rsidR="00113910">
        <w:rPr>
          <w:lang w:val="en-GB"/>
        </w:rPr>
        <w:t>,</w:t>
      </w:r>
      <w:r w:rsidR="00D471CF" w:rsidRPr="000050B8">
        <w:rPr>
          <w:lang w:val="en-GB"/>
        </w:rPr>
        <w:t xml:space="preserve"> 2012)</w:t>
      </w:r>
      <w:r w:rsidR="00FC79DF" w:rsidRPr="000050B8">
        <w:rPr>
          <w:lang w:val="en-GB"/>
        </w:rPr>
        <w:t xml:space="preserve">. In big cities, collaboration with regional partners is positively associated with organisational innovation only. Regional collaboration </w:t>
      </w:r>
      <w:r w:rsidR="00004791" w:rsidRPr="000050B8">
        <w:rPr>
          <w:lang w:val="en-GB"/>
        </w:rPr>
        <w:t>also</w:t>
      </w:r>
      <w:r w:rsidR="00FC79DF" w:rsidRPr="000050B8">
        <w:rPr>
          <w:lang w:val="en-GB"/>
        </w:rPr>
        <w:t xml:space="preserve"> has a positive </w:t>
      </w:r>
      <w:r w:rsidR="00130171">
        <w:rPr>
          <w:lang w:val="en-GB"/>
        </w:rPr>
        <w:t>coefficient</w:t>
      </w:r>
      <w:r w:rsidR="00130171" w:rsidRPr="000050B8">
        <w:rPr>
          <w:lang w:val="en-GB"/>
        </w:rPr>
        <w:t xml:space="preserve"> </w:t>
      </w:r>
      <w:r w:rsidR="00FC79DF" w:rsidRPr="000050B8">
        <w:rPr>
          <w:lang w:val="en-GB"/>
        </w:rPr>
        <w:t>for organisational and marketing innovation in medium-sized city regions.</w:t>
      </w:r>
      <w:r w:rsidR="00A908D7" w:rsidRPr="000050B8">
        <w:rPr>
          <w:lang w:val="en-GB"/>
        </w:rPr>
        <w:t xml:space="preserve"> </w:t>
      </w:r>
      <w:r w:rsidR="00FC79DF" w:rsidRPr="000050B8">
        <w:rPr>
          <w:lang w:val="en-GB"/>
        </w:rPr>
        <w:t>In small city regions, regional collaboration has a negative effect on product</w:t>
      </w:r>
      <w:r w:rsidR="00E61A3F" w:rsidRPr="000050B8">
        <w:rPr>
          <w:lang w:val="en-GB"/>
        </w:rPr>
        <w:t xml:space="preserve"> innovation, both in general and specifically for new-to-market</w:t>
      </w:r>
      <w:r w:rsidR="002D3195">
        <w:rPr>
          <w:lang w:val="en-GB"/>
        </w:rPr>
        <w:t xml:space="preserve"> product innovation</w:t>
      </w:r>
      <w:r w:rsidR="00FC79DF" w:rsidRPr="000050B8">
        <w:rPr>
          <w:lang w:val="en-GB"/>
        </w:rPr>
        <w:t xml:space="preserve">. Overall, there are significant differences in the </w:t>
      </w:r>
      <w:r w:rsidR="00130171">
        <w:rPr>
          <w:lang w:val="en-GB"/>
        </w:rPr>
        <w:t>coefficients for</w:t>
      </w:r>
      <w:r w:rsidR="00FC79DF" w:rsidRPr="000050B8">
        <w:rPr>
          <w:lang w:val="en-GB"/>
        </w:rPr>
        <w:t xml:space="preserve"> regional collaboration between small and medium-sized city regions, but this does not extend to big city regions</w:t>
      </w:r>
      <w:r w:rsidR="00A908D7" w:rsidRPr="000050B8">
        <w:rPr>
          <w:lang w:val="en-GB"/>
        </w:rPr>
        <w:t>.</w:t>
      </w:r>
    </w:p>
    <w:p w14:paraId="069DACD6" w14:textId="77777777" w:rsidR="000F16C4" w:rsidRPr="002B1A22" w:rsidRDefault="000F16C4" w:rsidP="000F16C4">
      <w:pPr>
        <w:spacing w:line="240" w:lineRule="auto"/>
        <w:rPr>
          <w:b/>
          <w:lang w:val="en-GB"/>
        </w:rPr>
      </w:pPr>
      <w:r w:rsidRPr="00EB63F1">
        <w:rPr>
          <w:b/>
          <w:caps/>
          <w:lang w:val="en-GB"/>
        </w:rPr>
        <w:t>Table</w:t>
      </w:r>
      <w:r>
        <w:rPr>
          <w:b/>
          <w:szCs w:val="24"/>
          <w:lang w:val="en-GB"/>
        </w:rPr>
        <w:t xml:space="preserve"> 6</w:t>
      </w:r>
      <w:r w:rsidRPr="00471165">
        <w:rPr>
          <w:b/>
          <w:szCs w:val="24"/>
          <w:lang w:val="en-GB"/>
        </w:rPr>
        <w:t xml:space="preserve">: </w:t>
      </w:r>
      <w:r>
        <w:rPr>
          <w:b/>
          <w:szCs w:val="24"/>
          <w:lang w:val="en-GB"/>
        </w:rPr>
        <w:t xml:space="preserve">Average marginal effects of </w:t>
      </w:r>
      <w:r>
        <w:rPr>
          <w:b/>
          <w:i/>
          <w:szCs w:val="24"/>
          <w:lang w:val="en-GB"/>
        </w:rPr>
        <w:t>Regional partners</w:t>
      </w:r>
      <w:r>
        <w:rPr>
          <w:b/>
          <w:szCs w:val="24"/>
          <w:lang w:val="en-GB"/>
        </w:rPr>
        <w:t xml:space="preserve"> in different regions</w:t>
      </w:r>
    </w:p>
    <w:tbl>
      <w:tblPr>
        <w:tblW w:w="9282" w:type="dxa"/>
        <w:tblLook w:val="01E0" w:firstRow="1" w:lastRow="1" w:firstColumn="1" w:lastColumn="1" w:noHBand="0" w:noVBand="0"/>
      </w:tblPr>
      <w:tblGrid>
        <w:gridCol w:w="1664"/>
        <w:gridCol w:w="1399"/>
        <w:gridCol w:w="1535"/>
        <w:gridCol w:w="1399"/>
        <w:gridCol w:w="1750"/>
        <w:gridCol w:w="1535"/>
      </w:tblGrid>
      <w:tr w:rsidR="000F16C4" w:rsidRPr="00471165" w14:paraId="472FC486" w14:textId="77777777" w:rsidTr="000972AF">
        <w:trPr>
          <w:trHeight w:val="924"/>
        </w:trPr>
        <w:tc>
          <w:tcPr>
            <w:tcW w:w="1664" w:type="dxa"/>
            <w:tcBorders>
              <w:top w:val="single" w:sz="4" w:space="0" w:color="auto"/>
              <w:bottom w:val="single" w:sz="4" w:space="0" w:color="auto"/>
            </w:tcBorders>
          </w:tcPr>
          <w:p w14:paraId="69FC4FAD" w14:textId="77777777" w:rsidR="000F16C4" w:rsidRPr="00471165" w:rsidRDefault="000F16C4" w:rsidP="000972AF">
            <w:pPr>
              <w:keepNext/>
              <w:spacing w:line="240" w:lineRule="auto"/>
              <w:jc w:val="left"/>
              <w:rPr>
                <w:b/>
                <w:szCs w:val="24"/>
                <w:lang w:val="en-GB"/>
              </w:rPr>
            </w:pPr>
          </w:p>
        </w:tc>
        <w:tc>
          <w:tcPr>
            <w:tcW w:w="1399" w:type="dxa"/>
            <w:tcBorders>
              <w:top w:val="single" w:sz="4" w:space="0" w:color="auto"/>
              <w:bottom w:val="single" w:sz="4" w:space="0" w:color="auto"/>
            </w:tcBorders>
          </w:tcPr>
          <w:p w14:paraId="0F899A0F" w14:textId="77777777" w:rsidR="000F16C4" w:rsidRPr="00471165" w:rsidRDefault="000F16C4" w:rsidP="000972AF">
            <w:pPr>
              <w:keepNext/>
              <w:spacing w:line="240" w:lineRule="auto"/>
              <w:jc w:val="center"/>
              <w:rPr>
                <w:b/>
                <w:szCs w:val="24"/>
                <w:lang w:val="en-GB"/>
              </w:rPr>
            </w:pPr>
            <w:r w:rsidRPr="00471165">
              <w:rPr>
                <w:b/>
                <w:szCs w:val="24"/>
                <w:lang w:val="en-GB"/>
              </w:rPr>
              <w:t>Product innovation</w:t>
            </w:r>
          </w:p>
        </w:tc>
        <w:tc>
          <w:tcPr>
            <w:tcW w:w="1535" w:type="dxa"/>
            <w:tcBorders>
              <w:top w:val="single" w:sz="4" w:space="0" w:color="auto"/>
              <w:bottom w:val="single" w:sz="4" w:space="0" w:color="auto"/>
            </w:tcBorders>
          </w:tcPr>
          <w:p w14:paraId="2CE7EEBE" w14:textId="77777777" w:rsidR="000F16C4" w:rsidRPr="00471165" w:rsidRDefault="000F16C4" w:rsidP="000972AF">
            <w:pPr>
              <w:keepNext/>
              <w:spacing w:line="240" w:lineRule="auto"/>
              <w:jc w:val="center"/>
              <w:rPr>
                <w:b/>
                <w:szCs w:val="24"/>
                <w:lang w:val="en-GB"/>
              </w:rPr>
            </w:pPr>
            <w:r w:rsidRPr="00471165">
              <w:rPr>
                <w:b/>
                <w:szCs w:val="24"/>
                <w:lang w:val="en-GB"/>
              </w:rPr>
              <w:t>New-to-market innovation</w:t>
            </w:r>
          </w:p>
        </w:tc>
        <w:tc>
          <w:tcPr>
            <w:tcW w:w="1399" w:type="dxa"/>
            <w:tcBorders>
              <w:top w:val="single" w:sz="4" w:space="0" w:color="auto"/>
              <w:bottom w:val="single" w:sz="4" w:space="0" w:color="auto"/>
            </w:tcBorders>
          </w:tcPr>
          <w:p w14:paraId="58BEB8D4" w14:textId="77777777" w:rsidR="000F16C4" w:rsidRPr="00471165" w:rsidRDefault="000F16C4" w:rsidP="000972AF">
            <w:pPr>
              <w:keepNext/>
              <w:spacing w:line="240" w:lineRule="auto"/>
              <w:jc w:val="center"/>
              <w:rPr>
                <w:b/>
                <w:szCs w:val="24"/>
                <w:lang w:val="en-GB"/>
              </w:rPr>
            </w:pPr>
            <w:r w:rsidRPr="00471165">
              <w:rPr>
                <w:b/>
                <w:szCs w:val="24"/>
                <w:lang w:val="en-GB"/>
              </w:rPr>
              <w:t>Process innovation</w:t>
            </w:r>
          </w:p>
        </w:tc>
        <w:tc>
          <w:tcPr>
            <w:tcW w:w="1750" w:type="dxa"/>
            <w:tcBorders>
              <w:top w:val="single" w:sz="4" w:space="0" w:color="auto"/>
              <w:left w:val="nil"/>
              <w:bottom w:val="single" w:sz="4" w:space="0" w:color="auto"/>
            </w:tcBorders>
          </w:tcPr>
          <w:p w14:paraId="27C573A2" w14:textId="77777777" w:rsidR="000F16C4" w:rsidRPr="00471165" w:rsidRDefault="000F16C4" w:rsidP="000972AF">
            <w:pPr>
              <w:keepNext/>
              <w:spacing w:line="240" w:lineRule="auto"/>
              <w:jc w:val="center"/>
              <w:rPr>
                <w:b/>
                <w:szCs w:val="24"/>
                <w:lang w:val="en-GB"/>
              </w:rPr>
            </w:pPr>
            <w:r w:rsidRPr="00471165">
              <w:rPr>
                <w:b/>
                <w:szCs w:val="24"/>
                <w:lang w:val="en-GB"/>
              </w:rPr>
              <w:t>Organisational innovation</w:t>
            </w:r>
          </w:p>
        </w:tc>
        <w:tc>
          <w:tcPr>
            <w:tcW w:w="1535" w:type="dxa"/>
            <w:tcBorders>
              <w:top w:val="single" w:sz="4" w:space="0" w:color="auto"/>
              <w:left w:val="nil"/>
              <w:bottom w:val="single" w:sz="4" w:space="0" w:color="auto"/>
            </w:tcBorders>
          </w:tcPr>
          <w:p w14:paraId="5CF1E6CA" w14:textId="77777777" w:rsidR="000F16C4" w:rsidRPr="00471165" w:rsidRDefault="000F16C4" w:rsidP="000972AF">
            <w:pPr>
              <w:keepNext/>
              <w:spacing w:line="240" w:lineRule="auto"/>
              <w:jc w:val="center"/>
              <w:rPr>
                <w:b/>
                <w:szCs w:val="24"/>
                <w:lang w:val="en-GB"/>
              </w:rPr>
            </w:pPr>
            <w:r w:rsidRPr="00471165">
              <w:rPr>
                <w:b/>
                <w:szCs w:val="24"/>
                <w:lang w:val="en-GB"/>
              </w:rPr>
              <w:t>Marketing innovation</w:t>
            </w:r>
          </w:p>
        </w:tc>
      </w:tr>
      <w:tr w:rsidR="000F16C4" w:rsidRPr="00471165" w14:paraId="3165E119" w14:textId="77777777" w:rsidTr="000972AF">
        <w:trPr>
          <w:trHeight w:val="20"/>
        </w:trPr>
        <w:tc>
          <w:tcPr>
            <w:tcW w:w="1664" w:type="dxa"/>
          </w:tcPr>
          <w:p w14:paraId="0E932D29" w14:textId="77777777" w:rsidR="000F16C4" w:rsidRPr="00471165" w:rsidRDefault="000F16C4" w:rsidP="000972AF">
            <w:pPr>
              <w:spacing w:line="240" w:lineRule="auto"/>
              <w:rPr>
                <w:rFonts w:ascii="Arial" w:hAnsi="Arial"/>
                <w:i/>
                <w:sz w:val="36"/>
                <w:szCs w:val="36"/>
                <w:lang w:val="en-GB"/>
              </w:rPr>
            </w:pPr>
            <w:r w:rsidRPr="00471165">
              <w:rPr>
                <w:i/>
                <w:lang w:val="en-GB"/>
              </w:rPr>
              <w:t>Big city</w:t>
            </w:r>
          </w:p>
        </w:tc>
        <w:tc>
          <w:tcPr>
            <w:tcW w:w="1399" w:type="dxa"/>
          </w:tcPr>
          <w:p w14:paraId="3F3847A0" w14:textId="77777777" w:rsidR="000F16C4" w:rsidRPr="00471165" w:rsidRDefault="000F16C4" w:rsidP="000972AF">
            <w:pPr>
              <w:spacing w:line="240" w:lineRule="auto"/>
              <w:jc w:val="center"/>
              <w:rPr>
                <w:rFonts w:ascii="Arial" w:hAnsi="Arial"/>
                <w:sz w:val="36"/>
                <w:szCs w:val="36"/>
                <w:lang w:val="en-GB"/>
              </w:rPr>
            </w:pPr>
            <w:r>
              <w:rPr>
                <w:lang w:val="en-GB"/>
              </w:rPr>
              <w:t>-.005</w:t>
            </w:r>
            <w:r w:rsidRPr="00471165">
              <w:rPr>
                <w:lang w:val="en-GB"/>
              </w:rPr>
              <w:br/>
            </w:r>
            <w:r>
              <w:rPr>
                <w:lang w:val="en-GB"/>
              </w:rPr>
              <w:t>(.007</w:t>
            </w:r>
            <w:r w:rsidRPr="00471165">
              <w:rPr>
                <w:lang w:val="en-GB"/>
              </w:rPr>
              <w:t>)</w:t>
            </w:r>
          </w:p>
        </w:tc>
        <w:tc>
          <w:tcPr>
            <w:tcW w:w="1535" w:type="dxa"/>
          </w:tcPr>
          <w:p w14:paraId="6D2094C5" w14:textId="77777777" w:rsidR="000F16C4" w:rsidRPr="00471165" w:rsidRDefault="000F16C4" w:rsidP="000972AF">
            <w:pPr>
              <w:spacing w:line="240" w:lineRule="auto"/>
              <w:jc w:val="center"/>
              <w:rPr>
                <w:rFonts w:ascii="Arial" w:hAnsi="Arial"/>
                <w:sz w:val="36"/>
                <w:szCs w:val="36"/>
                <w:lang w:val="en-GB"/>
              </w:rPr>
            </w:pPr>
            <w:r>
              <w:rPr>
                <w:lang w:val="en-GB"/>
              </w:rPr>
              <w:t>-.009</w:t>
            </w:r>
            <w:r>
              <w:rPr>
                <w:lang w:val="en-GB"/>
              </w:rPr>
              <w:br/>
              <w:t>(.007</w:t>
            </w:r>
            <w:r w:rsidRPr="00471165">
              <w:rPr>
                <w:lang w:val="en-GB"/>
              </w:rPr>
              <w:t>)</w:t>
            </w:r>
          </w:p>
        </w:tc>
        <w:tc>
          <w:tcPr>
            <w:tcW w:w="1399" w:type="dxa"/>
          </w:tcPr>
          <w:p w14:paraId="15F84CFE" w14:textId="77777777" w:rsidR="000F16C4" w:rsidRPr="00471165" w:rsidRDefault="000F16C4" w:rsidP="000972AF">
            <w:pPr>
              <w:spacing w:line="240" w:lineRule="auto"/>
              <w:jc w:val="center"/>
              <w:rPr>
                <w:rFonts w:ascii="Arial" w:hAnsi="Arial"/>
                <w:sz w:val="36"/>
                <w:szCs w:val="36"/>
                <w:lang w:val="en-GB"/>
              </w:rPr>
            </w:pPr>
            <w:r>
              <w:rPr>
                <w:lang w:val="en-GB"/>
              </w:rPr>
              <w:t>.009</w:t>
            </w:r>
            <w:r>
              <w:rPr>
                <w:lang w:val="en-GB"/>
              </w:rPr>
              <w:br/>
              <w:t>(.007</w:t>
            </w:r>
            <w:r w:rsidRPr="00471165">
              <w:rPr>
                <w:lang w:val="en-GB"/>
              </w:rPr>
              <w:t>)</w:t>
            </w:r>
          </w:p>
        </w:tc>
        <w:tc>
          <w:tcPr>
            <w:tcW w:w="1750" w:type="dxa"/>
            <w:tcBorders>
              <w:left w:val="nil"/>
            </w:tcBorders>
          </w:tcPr>
          <w:p w14:paraId="71AE76D3" w14:textId="77777777" w:rsidR="000F16C4" w:rsidRPr="00471165" w:rsidRDefault="000F16C4" w:rsidP="000972AF">
            <w:pPr>
              <w:spacing w:line="240" w:lineRule="auto"/>
              <w:jc w:val="center"/>
              <w:rPr>
                <w:rFonts w:ascii="Arial" w:hAnsi="Arial"/>
                <w:sz w:val="36"/>
                <w:szCs w:val="36"/>
                <w:lang w:val="en-GB"/>
              </w:rPr>
            </w:pPr>
            <w:r>
              <w:rPr>
                <w:lang w:val="en-GB"/>
              </w:rPr>
              <w:t>.024**</w:t>
            </w:r>
            <w:r>
              <w:rPr>
                <w:lang w:val="en-GB"/>
              </w:rPr>
              <w:br/>
              <w:t>(.009</w:t>
            </w:r>
            <w:r w:rsidRPr="00471165">
              <w:rPr>
                <w:lang w:val="en-GB"/>
              </w:rPr>
              <w:t>)</w:t>
            </w:r>
          </w:p>
        </w:tc>
        <w:tc>
          <w:tcPr>
            <w:tcW w:w="1535" w:type="dxa"/>
            <w:tcBorders>
              <w:left w:val="nil"/>
            </w:tcBorders>
          </w:tcPr>
          <w:p w14:paraId="4D117297" w14:textId="77777777" w:rsidR="000F16C4" w:rsidRPr="00471165" w:rsidRDefault="000F16C4" w:rsidP="000972AF">
            <w:pPr>
              <w:spacing w:line="240" w:lineRule="auto"/>
              <w:jc w:val="center"/>
              <w:rPr>
                <w:rFonts w:ascii="Arial" w:hAnsi="Arial"/>
                <w:sz w:val="36"/>
                <w:szCs w:val="36"/>
                <w:lang w:val="en-GB"/>
              </w:rPr>
            </w:pPr>
            <w:r>
              <w:rPr>
                <w:lang w:val="en-GB"/>
              </w:rPr>
              <w:t>-.009</w:t>
            </w:r>
            <w:r>
              <w:rPr>
                <w:lang w:val="en-GB"/>
              </w:rPr>
              <w:br/>
              <w:t>(.008</w:t>
            </w:r>
            <w:r w:rsidRPr="00471165">
              <w:rPr>
                <w:lang w:val="en-GB"/>
              </w:rPr>
              <w:t>)</w:t>
            </w:r>
          </w:p>
        </w:tc>
      </w:tr>
      <w:tr w:rsidR="000F16C4" w:rsidRPr="00471165" w14:paraId="20EE71C7" w14:textId="77777777" w:rsidTr="000972AF">
        <w:trPr>
          <w:trHeight w:val="20"/>
        </w:trPr>
        <w:tc>
          <w:tcPr>
            <w:tcW w:w="1664" w:type="dxa"/>
          </w:tcPr>
          <w:p w14:paraId="2C79588C" w14:textId="77777777" w:rsidR="000F16C4" w:rsidRPr="00471165" w:rsidRDefault="000F16C4" w:rsidP="000972AF">
            <w:pPr>
              <w:spacing w:line="240" w:lineRule="auto"/>
              <w:rPr>
                <w:rFonts w:ascii="Arial" w:hAnsi="Arial"/>
                <w:i/>
                <w:sz w:val="36"/>
                <w:szCs w:val="36"/>
                <w:lang w:val="en-GB"/>
              </w:rPr>
            </w:pPr>
            <w:r w:rsidRPr="00471165">
              <w:rPr>
                <w:i/>
                <w:lang w:val="en-GB"/>
              </w:rPr>
              <w:t>Medium city</w:t>
            </w:r>
          </w:p>
        </w:tc>
        <w:tc>
          <w:tcPr>
            <w:tcW w:w="1399" w:type="dxa"/>
          </w:tcPr>
          <w:p w14:paraId="4646ABE1" w14:textId="77777777" w:rsidR="000F16C4" w:rsidRPr="00471165" w:rsidRDefault="000F16C4" w:rsidP="000972AF">
            <w:pPr>
              <w:spacing w:line="240" w:lineRule="auto"/>
              <w:jc w:val="center"/>
              <w:rPr>
                <w:rFonts w:ascii="Arial" w:hAnsi="Arial"/>
                <w:sz w:val="36"/>
                <w:szCs w:val="36"/>
                <w:lang w:val="en-GB"/>
              </w:rPr>
            </w:pPr>
            <w:r>
              <w:rPr>
                <w:lang w:val="en-GB"/>
              </w:rPr>
              <w:t>.010</w:t>
            </w:r>
            <w:r>
              <w:rPr>
                <w:lang w:val="en-GB"/>
              </w:rPr>
              <w:br/>
              <w:t>(.008</w:t>
            </w:r>
            <w:r w:rsidRPr="00471165">
              <w:rPr>
                <w:lang w:val="en-GB"/>
              </w:rPr>
              <w:t>)</w:t>
            </w:r>
          </w:p>
        </w:tc>
        <w:tc>
          <w:tcPr>
            <w:tcW w:w="1535" w:type="dxa"/>
          </w:tcPr>
          <w:p w14:paraId="203CB959" w14:textId="77777777" w:rsidR="000F16C4" w:rsidRPr="00471165" w:rsidRDefault="000F16C4" w:rsidP="000972AF">
            <w:pPr>
              <w:spacing w:line="240" w:lineRule="auto"/>
              <w:jc w:val="center"/>
              <w:rPr>
                <w:rFonts w:ascii="Arial" w:hAnsi="Arial"/>
                <w:sz w:val="36"/>
                <w:szCs w:val="36"/>
                <w:lang w:val="en-GB"/>
              </w:rPr>
            </w:pPr>
            <w:r>
              <w:rPr>
                <w:lang w:val="en-GB"/>
              </w:rPr>
              <w:t>.006</w:t>
            </w:r>
            <w:r>
              <w:rPr>
                <w:lang w:val="en-GB"/>
              </w:rPr>
              <w:br/>
              <w:t>(.007</w:t>
            </w:r>
            <w:r w:rsidRPr="00471165">
              <w:rPr>
                <w:lang w:val="en-GB"/>
              </w:rPr>
              <w:t>)</w:t>
            </w:r>
          </w:p>
        </w:tc>
        <w:tc>
          <w:tcPr>
            <w:tcW w:w="1399" w:type="dxa"/>
          </w:tcPr>
          <w:p w14:paraId="549F404E" w14:textId="77777777" w:rsidR="000F16C4" w:rsidRPr="00471165" w:rsidRDefault="000F16C4" w:rsidP="000972AF">
            <w:pPr>
              <w:spacing w:line="240" w:lineRule="auto"/>
              <w:jc w:val="center"/>
              <w:rPr>
                <w:rFonts w:ascii="Arial" w:hAnsi="Arial"/>
                <w:sz w:val="36"/>
                <w:szCs w:val="36"/>
                <w:lang w:val="en-GB"/>
              </w:rPr>
            </w:pPr>
            <w:r>
              <w:rPr>
                <w:lang w:val="en-GB"/>
              </w:rPr>
              <w:t>.003</w:t>
            </w:r>
            <w:r>
              <w:rPr>
                <w:lang w:val="en-GB"/>
              </w:rPr>
              <w:br/>
              <w:t>(.009</w:t>
            </w:r>
            <w:r w:rsidRPr="00471165">
              <w:rPr>
                <w:lang w:val="en-GB"/>
              </w:rPr>
              <w:t>)</w:t>
            </w:r>
          </w:p>
        </w:tc>
        <w:tc>
          <w:tcPr>
            <w:tcW w:w="1750" w:type="dxa"/>
            <w:tcBorders>
              <w:left w:val="nil"/>
            </w:tcBorders>
          </w:tcPr>
          <w:p w14:paraId="7C72DA48" w14:textId="77777777" w:rsidR="000F16C4" w:rsidRPr="00471165" w:rsidRDefault="000F16C4" w:rsidP="000972AF">
            <w:pPr>
              <w:spacing w:line="240" w:lineRule="auto"/>
              <w:jc w:val="center"/>
              <w:rPr>
                <w:rFonts w:ascii="Arial" w:hAnsi="Arial"/>
                <w:sz w:val="36"/>
                <w:szCs w:val="36"/>
                <w:lang w:val="en-GB"/>
              </w:rPr>
            </w:pPr>
            <w:r>
              <w:rPr>
                <w:lang w:val="en-GB"/>
              </w:rPr>
              <w:t>.039***</w:t>
            </w:r>
            <w:r>
              <w:rPr>
                <w:lang w:val="en-GB"/>
              </w:rPr>
              <w:br/>
              <w:t>(.010</w:t>
            </w:r>
            <w:r w:rsidRPr="00471165">
              <w:rPr>
                <w:lang w:val="en-GB"/>
              </w:rPr>
              <w:t>)</w:t>
            </w:r>
          </w:p>
        </w:tc>
        <w:tc>
          <w:tcPr>
            <w:tcW w:w="1535" w:type="dxa"/>
            <w:tcBorders>
              <w:left w:val="nil"/>
            </w:tcBorders>
          </w:tcPr>
          <w:p w14:paraId="5D2CF637" w14:textId="77777777" w:rsidR="000F16C4" w:rsidRPr="00471165" w:rsidRDefault="000F16C4" w:rsidP="000972AF">
            <w:pPr>
              <w:spacing w:line="240" w:lineRule="auto"/>
              <w:jc w:val="center"/>
              <w:rPr>
                <w:rFonts w:ascii="Arial" w:hAnsi="Arial"/>
                <w:sz w:val="36"/>
                <w:szCs w:val="36"/>
                <w:lang w:val="en-GB"/>
              </w:rPr>
            </w:pPr>
            <w:r>
              <w:rPr>
                <w:lang w:val="en-GB"/>
              </w:rPr>
              <w:t>.021*</w:t>
            </w:r>
            <w:r>
              <w:rPr>
                <w:lang w:val="en-GB"/>
              </w:rPr>
              <w:br/>
              <w:t>(.009</w:t>
            </w:r>
            <w:r w:rsidRPr="00471165">
              <w:rPr>
                <w:lang w:val="en-GB"/>
              </w:rPr>
              <w:t>)</w:t>
            </w:r>
          </w:p>
        </w:tc>
      </w:tr>
      <w:tr w:rsidR="000F16C4" w:rsidRPr="00471165" w14:paraId="637A535B" w14:textId="77777777" w:rsidTr="000972AF">
        <w:trPr>
          <w:trHeight w:val="20"/>
        </w:trPr>
        <w:tc>
          <w:tcPr>
            <w:tcW w:w="1664" w:type="dxa"/>
          </w:tcPr>
          <w:p w14:paraId="768F91F1" w14:textId="77777777" w:rsidR="000F16C4" w:rsidRPr="00471165" w:rsidRDefault="000F16C4" w:rsidP="000972AF">
            <w:pPr>
              <w:spacing w:line="240" w:lineRule="auto"/>
              <w:rPr>
                <w:rFonts w:ascii="Arial" w:hAnsi="Arial"/>
                <w:i/>
                <w:sz w:val="36"/>
                <w:szCs w:val="36"/>
                <w:lang w:val="en-GB"/>
              </w:rPr>
            </w:pPr>
            <w:r w:rsidRPr="00471165">
              <w:rPr>
                <w:i/>
                <w:lang w:val="en-GB"/>
              </w:rPr>
              <w:t>Small city</w:t>
            </w:r>
          </w:p>
        </w:tc>
        <w:tc>
          <w:tcPr>
            <w:tcW w:w="1399" w:type="dxa"/>
          </w:tcPr>
          <w:p w14:paraId="7CDEC2A8" w14:textId="77777777" w:rsidR="000F16C4" w:rsidRPr="00471165" w:rsidRDefault="000F16C4" w:rsidP="000972AF">
            <w:pPr>
              <w:spacing w:line="240" w:lineRule="auto"/>
              <w:jc w:val="center"/>
              <w:rPr>
                <w:rFonts w:ascii="Arial" w:hAnsi="Arial"/>
                <w:sz w:val="36"/>
                <w:szCs w:val="36"/>
                <w:lang w:val="en-GB"/>
              </w:rPr>
            </w:pPr>
            <w:r>
              <w:rPr>
                <w:lang w:val="en-GB"/>
              </w:rPr>
              <w:t>-.026***</w:t>
            </w:r>
            <w:r>
              <w:rPr>
                <w:lang w:val="en-GB"/>
              </w:rPr>
              <w:br/>
              <w:t>(.007</w:t>
            </w:r>
            <w:r w:rsidRPr="00471165">
              <w:rPr>
                <w:lang w:val="en-GB"/>
              </w:rPr>
              <w:t>)</w:t>
            </w:r>
          </w:p>
        </w:tc>
        <w:tc>
          <w:tcPr>
            <w:tcW w:w="1535" w:type="dxa"/>
          </w:tcPr>
          <w:p w14:paraId="08DEADD5" w14:textId="77777777" w:rsidR="000F16C4" w:rsidRPr="00471165" w:rsidRDefault="000F16C4" w:rsidP="000972AF">
            <w:pPr>
              <w:spacing w:line="240" w:lineRule="auto"/>
              <w:jc w:val="center"/>
              <w:rPr>
                <w:rFonts w:ascii="Arial" w:hAnsi="Arial"/>
                <w:sz w:val="36"/>
                <w:szCs w:val="36"/>
                <w:lang w:val="en-GB"/>
              </w:rPr>
            </w:pPr>
            <w:r>
              <w:rPr>
                <w:lang w:val="en-GB"/>
              </w:rPr>
              <w:t>-</w:t>
            </w:r>
            <w:r w:rsidRPr="00471165">
              <w:rPr>
                <w:lang w:val="en-GB"/>
              </w:rPr>
              <w:t>.</w:t>
            </w:r>
            <w:r>
              <w:rPr>
                <w:lang w:val="en-GB"/>
              </w:rPr>
              <w:t>017*</w:t>
            </w:r>
            <w:r>
              <w:rPr>
                <w:lang w:val="en-GB"/>
              </w:rPr>
              <w:br/>
              <w:t>(.007</w:t>
            </w:r>
            <w:r w:rsidRPr="00471165">
              <w:rPr>
                <w:lang w:val="en-GB"/>
              </w:rPr>
              <w:t>)</w:t>
            </w:r>
          </w:p>
        </w:tc>
        <w:tc>
          <w:tcPr>
            <w:tcW w:w="1399" w:type="dxa"/>
          </w:tcPr>
          <w:p w14:paraId="61BF6F29" w14:textId="77777777" w:rsidR="000F16C4" w:rsidRPr="00471165" w:rsidRDefault="000F16C4" w:rsidP="000972AF">
            <w:pPr>
              <w:spacing w:line="240" w:lineRule="auto"/>
              <w:jc w:val="center"/>
              <w:rPr>
                <w:rFonts w:ascii="Arial" w:hAnsi="Arial"/>
                <w:sz w:val="36"/>
                <w:szCs w:val="36"/>
                <w:lang w:val="en-GB"/>
              </w:rPr>
            </w:pPr>
            <w:r w:rsidRPr="00471165">
              <w:rPr>
                <w:lang w:val="en-GB"/>
              </w:rPr>
              <w:t>-</w:t>
            </w:r>
            <w:r>
              <w:rPr>
                <w:lang w:val="en-GB"/>
              </w:rPr>
              <w:t>.000</w:t>
            </w:r>
            <w:r>
              <w:rPr>
                <w:lang w:val="en-GB"/>
              </w:rPr>
              <w:br/>
              <w:t>(.008</w:t>
            </w:r>
            <w:r w:rsidRPr="00471165">
              <w:rPr>
                <w:lang w:val="en-GB"/>
              </w:rPr>
              <w:t>)</w:t>
            </w:r>
          </w:p>
        </w:tc>
        <w:tc>
          <w:tcPr>
            <w:tcW w:w="1750" w:type="dxa"/>
            <w:tcBorders>
              <w:left w:val="nil"/>
            </w:tcBorders>
          </w:tcPr>
          <w:p w14:paraId="08186D3C" w14:textId="77777777" w:rsidR="000F16C4" w:rsidRPr="00471165" w:rsidRDefault="000F16C4" w:rsidP="000972AF">
            <w:pPr>
              <w:spacing w:line="240" w:lineRule="auto"/>
              <w:jc w:val="center"/>
              <w:rPr>
                <w:rFonts w:ascii="Arial" w:hAnsi="Arial"/>
                <w:sz w:val="36"/>
                <w:szCs w:val="36"/>
                <w:lang w:val="en-GB"/>
              </w:rPr>
            </w:pPr>
            <w:r>
              <w:rPr>
                <w:lang w:val="en-GB"/>
              </w:rPr>
              <w:t>.012</w:t>
            </w:r>
            <w:r>
              <w:rPr>
                <w:lang w:val="en-GB"/>
              </w:rPr>
              <w:br/>
              <w:t>(.010</w:t>
            </w:r>
            <w:r w:rsidRPr="00471165">
              <w:rPr>
                <w:lang w:val="en-GB"/>
              </w:rPr>
              <w:t>)</w:t>
            </w:r>
          </w:p>
        </w:tc>
        <w:tc>
          <w:tcPr>
            <w:tcW w:w="1535" w:type="dxa"/>
            <w:tcBorders>
              <w:left w:val="nil"/>
            </w:tcBorders>
          </w:tcPr>
          <w:p w14:paraId="2C235B82" w14:textId="77777777" w:rsidR="000F16C4" w:rsidRPr="00471165" w:rsidRDefault="000F16C4" w:rsidP="000972AF">
            <w:pPr>
              <w:spacing w:line="240" w:lineRule="auto"/>
              <w:jc w:val="center"/>
              <w:rPr>
                <w:rFonts w:ascii="Arial" w:hAnsi="Arial"/>
                <w:sz w:val="36"/>
                <w:szCs w:val="36"/>
                <w:lang w:val="en-GB"/>
              </w:rPr>
            </w:pPr>
            <w:r>
              <w:rPr>
                <w:lang w:val="en-GB"/>
              </w:rPr>
              <w:t>-.007</w:t>
            </w:r>
            <w:r>
              <w:rPr>
                <w:lang w:val="en-GB"/>
              </w:rPr>
              <w:br/>
              <w:t>(.008</w:t>
            </w:r>
            <w:r w:rsidRPr="00471165">
              <w:rPr>
                <w:lang w:val="en-GB"/>
              </w:rPr>
              <w:t>)</w:t>
            </w:r>
          </w:p>
        </w:tc>
      </w:tr>
      <w:tr w:rsidR="000F16C4" w:rsidRPr="00471165" w14:paraId="26B6DFD2" w14:textId="77777777" w:rsidTr="000972AF">
        <w:trPr>
          <w:trHeight w:val="20"/>
        </w:trPr>
        <w:tc>
          <w:tcPr>
            <w:tcW w:w="1664" w:type="dxa"/>
            <w:tcBorders>
              <w:bottom w:val="single" w:sz="4" w:space="0" w:color="auto"/>
            </w:tcBorders>
          </w:tcPr>
          <w:p w14:paraId="66DCAEAF" w14:textId="77777777" w:rsidR="000F16C4" w:rsidRPr="00471165" w:rsidRDefault="000F16C4" w:rsidP="000972AF">
            <w:pPr>
              <w:spacing w:line="240" w:lineRule="auto"/>
              <w:rPr>
                <w:i/>
                <w:lang w:val="en-GB"/>
              </w:rPr>
            </w:pPr>
            <w:r>
              <w:rPr>
                <w:i/>
                <w:lang w:val="en-GB"/>
              </w:rPr>
              <w:t>Peripheral region</w:t>
            </w:r>
          </w:p>
        </w:tc>
        <w:tc>
          <w:tcPr>
            <w:tcW w:w="1399" w:type="dxa"/>
            <w:tcBorders>
              <w:bottom w:val="single" w:sz="4" w:space="0" w:color="auto"/>
            </w:tcBorders>
          </w:tcPr>
          <w:p w14:paraId="3B266D9B" w14:textId="77777777" w:rsidR="000F16C4" w:rsidRPr="00471165" w:rsidRDefault="000F16C4" w:rsidP="000972AF">
            <w:pPr>
              <w:spacing w:line="240" w:lineRule="auto"/>
              <w:jc w:val="center"/>
              <w:rPr>
                <w:lang w:val="en-GB"/>
              </w:rPr>
            </w:pPr>
            <w:r>
              <w:rPr>
                <w:lang w:val="en-GB"/>
              </w:rPr>
              <w:t>-.005</w:t>
            </w:r>
            <w:r>
              <w:rPr>
                <w:lang w:val="en-GB"/>
              </w:rPr>
              <w:br/>
              <w:t>(.008)</w:t>
            </w:r>
          </w:p>
        </w:tc>
        <w:tc>
          <w:tcPr>
            <w:tcW w:w="1535" w:type="dxa"/>
            <w:tcBorders>
              <w:bottom w:val="single" w:sz="4" w:space="0" w:color="auto"/>
            </w:tcBorders>
          </w:tcPr>
          <w:p w14:paraId="4C479AB7" w14:textId="77777777" w:rsidR="000F16C4" w:rsidRPr="00471165" w:rsidRDefault="000F16C4" w:rsidP="000972AF">
            <w:pPr>
              <w:spacing w:line="240" w:lineRule="auto"/>
              <w:jc w:val="center"/>
              <w:rPr>
                <w:lang w:val="en-GB"/>
              </w:rPr>
            </w:pPr>
            <w:r>
              <w:rPr>
                <w:lang w:val="en-GB"/>
              </w:rPr>
              <w:t>.005</w:t>
            </w:r>
            <w:r>
              <w:rPr>
                <w:lang w:val="en-GB"/>
              </w:rPr>
              <w:br/>
              <w:t>(.007)</w:t>
            </w:r>
          </w:p>
        </w:tc>
        <w:tc>
          <w:tcPr>
            <w:tcW w:w="1399" w:type="dxa"/>
            <w:tcBorders>
              <w:bottom w:val="single" w:sz="4" w:space="0" w:color="auto"/>
            </w:tcBorders>
          </w:tcPr>
          <w:p w14:paraId="72073C4A" w14:textId="77777777" w:rsidR="000F16C4" w:rsidRPr="00471165" w:rsidRDefault="000F16C4" w:rsidP="000972AF">
            <w:pPr>
              <w:spacing w:line="240" w:lineRule="auto"/>
              <w:jc w:val="center"/>
              <w:rPr>
                <w:lang w:val="en-GB"/>
              </w:rPr>
            </w:pPr>
            <w:r>
              <w:rPr>
                <w:szCs w:val="24"/>
                <w:lang w:val="en-GB"/>
              </w:rPr>
              <w:t>.014†</w:t>
            </w:r>
            <w:r>
              <w:rPr>
                <w:szCs w:val="24"/>
                <w:lang w:val="en-GB"/>
              </w:rPr>
              <w:br/>
              <w:t>(</w:t>
            </w:r>
            <w:r w:rsidRPr="002B1A22">
              <w:rPr>
                <w:szCs w:val="24"/>
                <w:lang w:val="en-GB"/>
              </w:rPr>
              <w:t>.009)</w:t>
            </w:r>
          </w:p>
        </w:tc>
        <w:tc>
          <w:tcPr>
            <w:tcW w:w="1750" w:type="dxa"/>
            <w:tcBorders>
              <w:left w:val="nil"/>
              <w:bottom w:val="single" w:sz="4" w:space="0" w:color="auto"/>
            </w:tcBorders>
          </w:tcPr>
          <w:p w14:paraId="1AA0CC9C" w14:textId="77777777" w:rsidR="000F16C4" w:rsidRPr="00471165" w:rsidRDefault="000F16C4" w:rsidP="000972AF">
            <w:pPr>
              <w:spacing w:line="240" w:lineRule="auto"/>
              <w:jc w:val="center"/>
              <w:rPr>
                <w:lang w:val="en-GB"/>
              </w:rPr>
            </w:pPr>
            <w:r>
              <w:rPr>
                <w:lang w:val="en-GB"/>
              </w:rPr>
              <w:t>.017</w:t>
            </w:r>
            <w:r>
              <w:rPr>
                <w:lang w:val="en-GB"/>
              </w:rPr>
              <w:br/>
              <w:t>(.011</w:t>
            </w:r>
            <w:r w:rsidRPr="00471165">
              <w:rPr>
                <w:lang w:val="en-GB"/>
              </w:rPr>
              <w:t>)</w:t>
            </w:r>
          </w:p>
        </w:tc>
        <w:tc>
          <w:tcPr>
            <w:tcW w:w="1535" w:type="dxa"/>
            <w:tcBorders>
              <w:left w:val="nil"/>
              <w:bottom w:val="single" w:sz="4" w:space="0" w:color="auto"/>
            </w:tcBorders>
          </w:tcPr>
          <w:p w14:paraId="25D63B8A" w14:textId="77777777" w:rsidR="000F16C4" w:rsidRPr="00471165" w:rsidRDefault="000F16C4" w:rsidP="000972AF">
            <w:pPr>
              <w:spacing w:line="240" w:lineRule="auto"/>
              <w:jc w:val="center"/>
              <w:rPr>
                <w:lang w:val="en-GB"/>
              </w:rPr>
            </w:pPr>
            <w:r>
              <w:rPr>
                <w:lang w:val="en-GB"/>
              </w:rPr>
              <w:t>.009</w:t>
            </w:r>
            <w:r>
              <w:rPr>
                <w:lang w:val="en-GB"/>
              </w:rPr>
              <w:br/>
              <w:t>(.010)</w:t>
            </w:r>
          </w:p>
        </w:tc>
      </w:tr>
    </w:tbl>
    <w:p w14:paraId="50B54817" w14:textId="77777777" w:rsidR="000F16C4" w:rsidRPr="00471165" w:rsidRDefault="000F16C4" w:rsidP="000F16C4">
      <w:pPr>
        <w:spacing w:line="240" w:lineRule="auto"/>
        <w:jc w:val="center"/>
        <w:rPr>
          <w:sz w:val="20"/>
          <w:lang w:val="en-GB"/>
        </w:rPr>
      </w:pPr>
      <w:r>
        <w:rPr>
          <w:sz w:val="20"/>
          <w:lang w:val="en-GB"/>
        </w:rPr>
        <w:t xml:space="preserve">Note: † = P &lt; .10 * = P &lt; .05 ** = P &lt; </w:t>
      </w:r>
      <w:r w:rsidRPr="00471165">
        <w:rPr>
          <w:sz w:val="20"/>
          <w:lang w:val="en-GB"/>
        </w:rPr>
        <w:t xml:space="preserve">.01 </w:t>
      </w:r>
      <w:r>
        <w:rPr>
          <w:sz w:val="20"/>
          <w:lang w:val="en-GB"/>
        </w:rPr>
        <w:t>*** = P &lt; .001</w:t>
      </w:r>
    </w:p>
    <w:p w14:paraId="7FB7739B" w14:textId="2585E734" w:rsidR="00530CD5" w:rsidRDefault="00530CD5" w:rsidP="00C43B94">
      <w:pPr>
        <w:spacing w:line="480" w:lineRule="auto"/>
        <w:rPr>
          <w:lang w:val="en-GB"/>
        </w:rPr>
      </w:pPr>
    </w:p>
    <w:p w14:paraId="395486B4" w14:textId="02E659E6" w:rsidR="00AE28B0" w:rsidRPr="000050B8" w:rsidRDefault="007F7E20" w:rsidP="00AE28B0">
      <w:pPr>
        <w:keepNext/>
        <w:spacing w:line="480" w:lineRule="auto"/>
        <w:rPr>
          <w:b/>
          <w:lang w:val="en-GB"/>
        </w:rPr>
      </w:pPr>
      <w:r>
        <w:rPr>
          <w:b/>
          <w:lang w:val="en-GB"/>
        </w:rPr>
        <w:lastRenderedPageBreak/>
        <w:t xml:space="preserve">4.3 </w:t>
      </w:r>
      <w:r w:rsidR="00AE28B0">
        <w:rPr>
          <w:b/>
          <w:lang w:val="en-GB"/>
        </w:rPr>
        <w:t>Intensity of innovation</w:t>
      </w:r>
    </w:p>
    <w:p w14:paraId="14872632" w14:textId="2C1BEBD0" w:rsidR="00D61540" w:rsidRDefault="00D61540" w:rsidP="00C43B94">
      <w:pPr>
        <w:spacing w:line="480" w:lineRule="auto"/>
        <w:rPr>
          <w:lang w:val="en-GB"/>
        </w:rPr>
      </w:pPr>
      <w:r>
        <w:rPr>
          <w:lang w:val="en-GB"/>
        </w:rPr>
        <w:t xml:space="preserve">The analyses conducted so far </w:t>
      </w:r>
      <w:r w:rsidR="00362452">
        <w:rPr>
          <w:lang w:val="en-GB"/>
        </w:rPr>
        <w:t xml:space="preserve">have </w:t>
      </w:r>
      <w:r>
        <w:rPr>
          <w:lang w:val="en-GB"/>
        </w:rPr>
        <w:t>examine</w:t>
      </w:r>
      <w:r w:rsidR="00362452">
        <w:rPr>
          <w:lang w:val="en-GB"/>
        </w:rPr>
        <w:t>d</w:t>
      </w:r>
      <w:r>
        <w:rPr>
          <w:lang w:val="en-GB"/>
        </w:rPr>
        <w:t xml:space="preserve"> the impact of collaboration and location on whether firms innovate or not. However, the influence of these factors m</w:t>
      </w:r>
      <w:r w:rsidR="00E71BA0">
        <w:rPr>
          <w:lang w:val="en-GB"/>
        </w:rPr>
        <w:t>ay</w:t>
      </w:r>
      <w:r>
        <w:rPr>
          <w:lang w:val="en-GB"/>
        </w:rPr>
        <w:t xml:space="preserve"> be seen not only in whether a firm innovates, but also in the intensity of innovation. In order to probe this, Table 7 shows the results of a Tobit regression analysis using the share of the firm’s turnover from new products as the dependent variable. The right-hand side</w:t>
      </w:r>
      <w:r w:rsidR="00362452">
        <w:rPr>
          <w:lang w:val="en-GB"/>
        </w:rPr>
        <w:t>s</w:t>
      </w:r>
      <w:r>
        <w:rPr>
          <w:lang w:val="en-GB"/>
        </w:rPr>
        <w:t xml:space="preserve"> of the models are identical to Models 1-3 above. We use two versions of the dependent variable. The first indicates the share of turnover from all products new to the firm (equivalent to product innovation in the analyses above), while the second indicates the share of turnover from products new to the market only (equivalent to new-to-market innovation in the analyses above).</w:t>
      </w:r>
    </w:p>
    <w:p w14:paraId="2DD6DA34" w14:textId="77777777" w:rsidR="000F16C4" w:rsidRDefault="000F16C4" w:rsidP="000F16C4">
      <w:pPr>
        <w:spacing w:after="0" w:line="240" w:lineRule="auto"/>
        <w:jc w:val="left"/>
        <w:rPr>
          <w:lang w:val="en-GB"/>
        </w:rPr>
        <w:sectPr w:rsidR="000F16C4" w:rsidSect="000F16C4">
          <w:headerReference w:type="default" r:id="rId14"/>
          <w:footerReference w:type="default" r:id="rId15"/>
          <w:pgSz w:w="11900" w:h="16840"/>
          <w:pgMar w:top="1417" w:right="1417" w:bottom="1417" w:left="1417" w:header="708" w:footer="708" w:gutter="0"/>
          <w:cols w:space="708"/>
          <w:docGrid w:linePitch="360"/>
        </w:sectPr>
      </w:pPr>
    </w:p>
    <w:p w14:paraId="267DC7BF" w14:textId="77777777" w:rsidR="000F16C4" w:rsidRPr="000F16C4" w:rsidRDefault="000F16C4" w:rsidP="000F16C4">
      <w:pPr>
        <w:rPr>
          <w:b/>
          <w:sz w:val="22"/>
        </w:rPr>
      </w:pPr>
      <w:r w:rsidRPr="000F16C4">
        <w:rPr>
          <w:b/>
          <w:caps/>
          <w:sz w:val="22"/>
        </w:rPr>
        <w:lastRenderedPageBreak/>
        <w:t>Table</w:t>
      </w:r>
      <w:r w:rsidRPr="000F16C4">
        <w:rPr>
          <w:b/>
          <w:sz w:val="22"/>
        </w:rPr>
        <w:t xml:space="preserve"> 7: Tobit regression results</w:t>
      </w:r>
    </w:p>
    <w:tbl>
      <w:tblPr>
        <w:tblW w:w="5450" w:type="pct"/>
        <w:jc w:val="center"/>
        <w:tblCellMar>
          <w:left w:w="75" w:type="dxa"/>
          <w:right w:w="75" w:type="dxa"/>
        </w:tblCellMar>
        <w:tblLook w:val="0000" w:firstRow="0" w:lastRow="0" w:firstColumn="0" w:lastColumn="0" w:noHBand="0" w:noVBand="0"/>
      </w:tblPr>
      <w:tblGrid>
        <w:gridCol w:w="3375"/>
        <w:gridCol w:w="1243"/>
        <w:gridCol w:w="1243"/>
        <w:gridCol w:w="1352"/>
        <w:gridCol w:w="1253"/>
        <w:gridCol w:w="1741"/>
        <w:gridCol w:w="1741"/>
        <w:gridCol w:w="1741"/>
        <w:gridCol w:w="1741"/>
      </w:tblGrid>
      <w:tr w:rsidR="000F16C4" w:rsidRPr="000F16C4" w14:paraId="3DAD9891" w14:textId="77777777" w:rsidTr="000972AF">
        <w:trPr>
          <w:jc w:val="center"/>
        </w:trPr>
        <w:tc>
          <w:tcPr>
            <w:tcW w:w="1094" w:type="pct"/>
            <w:tcBorders>
              <w:top w:val="single" w:sz="6" w:space="0" w:color="auto"/>
              <w:left w:val="nil"/>
              <w:bottom w:val="nil"/>
              <w:right w:val="nil"/>
            </w:tcBorders>
          </w:tcPr>
          <w:p w14:paraId="4264AF79" w14:textId="77777777" w:rsidR="000F16C4" w:rsidRPr="000F16C4" w:rsidRDefault="000F16C4" w:rsidP="000972AF">
            <w:pPr>
              <w:widowControl w:val="0"/>
              <w:autoSpaceDE w:val="0"/>
              <w:autoSpaceDN w:val="0"/>
              <w:adjustRightInd w:val="0"/>
              <w:spacing w:after="0" w:line="240" w:lineRule="auto"/>
              <w:rPr>
                <w:sz w:val="22"/>
                <w:szCs w:val="24"/>
              </w:rPr>
            </w:pPr>
          </w:p>
        </w:tc>
        <w:tc>
          <w:tcPr>
            <w:tcW w:w="1650" w:type="pct"/>
            <w:gridSpan w:val="4"/>
            <w:tcBorders>
              <w:top w:val="single" w:sz="6" w:space="0" w:color="auto"/>
              <w:left w:val="nil"/>
              <w:bottom w:val="nil"/>
              <w:right w:val="nil"/>
            </w:tcBorders>
          </w:tcPr>
          <w:p w14:paraId="2BAC7A91" w14:textId="77777777" w:rsidR="000F16C4" w:rsidRPr="000F16C4" w:rsidRDefault="000F16C4" w:rsidP="000972AF">
            <w:pPr>
              <w:widowControl w:val="0"/>
              <w:autoSpaceDE w:val="0"/>
              <w:autoSpaceDN w:val="0"/>
              <w:adjustRightInd w:val="0"/>
              <w:spacing w:after="0" w:line="240" w:lineRule="auto"/>
              <w:jc w:val="center"/>
              <w:rPr>
                <w:sz w:val="22"/>
                <w:szCs w:val="24"/>
                <w:lang w:val="en-GB"/>
              </w:rPr>
            </w:pPr>
            <w:r w:rsidRPr="000F16C4">
              <w:rPr>
                <w:sz w:val="22"/>
                <w:szCs w:val="24"/>
                <w:lang w:val="en-GB"/>
              </w:rPr>
              <w:t>Share of income from product innovation</w:t>
            </w:r>
          </w:p>
        </w:tc>
        <w:tc>
          <w:tcPr>
            <w:tcW w:w="2257" w:type="pct"/>
            <w:gridSpan w:val="4"/>
            <w:tcBorders>
              <w:top w:val="single" w:sz="6" w:space="0" w:color="auto"/>
              <w:left w:val="nil"/>
              <w:bottom w:val="nil"/>
              <w:right w:val="nil"/>
            </w:tcBorders>
          </w:tcPr>
          <w:p w14:paraId="12E6DCB4" w14:textId="77777777" w:rsidR="000F16C4" w:rsidRPr="000F16C4" w:rsidRDefault="000F16C4" w:rsidP="000972AF">
            <w:pPr>
              <w:widowControl w:val="0"/>
              <w:autoSpaceDE w:val="0"/>
              <w:autoSpaceDN w:val="0"/>
              <w:adjustRightInd w:val="0"/>
              <w:spacing w:after="0" w:line="240" w:lineRule="auto"/>
              <w:jc w:val="center"/>
              <w:rPr>
                <w:sz w:val="22"/>
                <w:szCs w:val="24"/>
                <w:lang w:val="en-GB"/>
              </w:rPr>
            </w:pPr>
            <w:r w:rsidRPr="000F16C4">
              <w:rPr>
                <w:sz w:val="22"/>
                <w:szCs w:val="24"/>
                <w:lang w:val="en-GB"/>
              </w:rPr>
              <w:t>Share of income from new-to-market innovation</w:t>
            </w:r>
          </w:p>
        </w:tc>
      </w:tr>
      <w:tr w:rsidR="000F16C4" w:rsidRPr="000F16C4" w14:paraId="49F453DE" w14:textId="77777777" w:rsidTr="000972AF">
        <w:trPr>
          <w:jc w:val="center"/>
        </w:trPr>
        <w:tc>
          <w:tcPr>
            <w:tcW w:w="1094" w:type="pct"/>
            <w:tcBorders>
              <w:top w:val="nil"/>
              <w:left w:val="nil"/>
              <w:bottom w:val="single" w:sz="6" w:space="0" w:color="auto"/>
              <w:right w:val="nil"/>
            </w:tcBorders>
          </w:tcPr>
          <w:p w14:paraId="47C2CED6" w14:textId="77777777" w:rsidR="000F16C4" w:rsidRPr="000F16C4" w:rsidRDefault="000F16C4" w:rsidP="000972AF">
            <w:pPr>
              <w:widowControl w:val="0"/>
              <w:autoSpaceDE w:val="0"/>
              <w:autoSpaceDN w:val="0"/>
              <w:adjustRightInd w:val="0"/>
              <w:spacing w:after="0" w:line="240" w:lineRule="auto"/>
              <w:rPr>
                <w:sz w:val="22"/>
                <w:szCs w:val="24"/>
              </w:rPr>
            </w:pPr>
            <w:r w:rsidRPr="000F16C4">
              <w:rPr>
                <w:sz w:val="22"/>
                <w:szCs w:val="24"/>
              </w:rPr>
              <w:t>VARIABLES</w:t>
            </w:r>
          </w:p>
        </w:tc>
        <w:tc>
          <w:tcPr>
            <w:tcW w:w="403" w:type="pct"/>
            <w:tcBorders>
              <w:top w:val="nil"/>
              <w:left w:val="nil"/>
              <w:bottom w:val="single" w:sz="6" w:space="0" w:color="auto"/>
              <w:right w:val="nil"/>
            </w:tcBorders>
          </w:tcPr>
          <w:p w14:paraId="1785D19E"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Model 1</w:t>
            </w:r>
          </w:p>
        </w:tc>
        <w:tc>
          <w:tcPr>
            <w:tcW w:w="403" w:type="pct"/>
            <w:tcBorders>
              <w:top w:val="nil"/>
              <w:left w:val="nil"/>
              <w:bottom w:val="single" w:sz="6" w:space="0" w:color="auto"/>
              <w:right w:val="nil"/>
            </w:tcBorders>
          </w:tcPr>
          <w:p w14:paraId="03C76721"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Model 2</w:t>
            </w:r>
          </w:p>
        </w:tc>
        <w:tc>
          <w:tcPr>
            <w:tcW w:w="438" w:type="pct"/>
            <w:tcBorders>
              <w:top w:val="nil"/>
              <w:left w:val="nil"/>
              <w:bottom w:val="single" w:sz="6" w:space="0" w:color="auto"/>
              <w:right w:val="nil"/>
            </w:tcBorders>
          </w:tcPr>
          <w:p w14:paraId="13CC1078"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Model 2, innovation- active</w:t>
            </w:r>
          </w:p>
        </w:tc>
        <w:tc>
          <w:tcPr>
            <w:tcW w:w="406" w:type="pct"/>
            <w:tcBorders>
              <w:top w:val="nil"/>
              <w:left w:val="nil"/>
              <w:bottom w:val="single" w:sz="6" w:space="0" w:color="auto"/>
              <w:right w:val="nil"/>
            </w:tcBorders>
          </w:tcPr>
          <w:p w14:paraId="16A076E8"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Model 3</w:t>
            </w:r>
          </w:p>
        </w:tc>
        <w:tc>
          <w:tcPr>
            <w:tcW w:w="564" w:type="pct"/>
            <w:tcBorders>
              <w:top w:val="nil"/>
              <w:left w:val="nil"/>
              <w:bottom w:val="single" w:sz="6" w:space="0" w:color="auto"/>
              <w:right w:val="nil"/>
            </w:tcBorders>
          </w:tcPr>
          <w:p w14:paraId="24FE554F"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Model 1</w:t>
            </w:r>
          </w:p>
        </w:tc>
        <w:tc>
          <w:tcPr>
            <w:tcW w:w="564" w:type="pct"/>
            <w:tcBorders>
              <w:top w:val="nil"/>
              <w:left w:val="nil"/>
              <w:bottom w:val="single" w:sz="6" w:space="0" w:color="auto"/>
              <w:right w:val="nil"/>
            </w:tcBorders>
          </w:tcPr>
          <w:p w14:paraId="4C1B85ED"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Model 2</w:t>
            </w:r>
          </w:p>
        </w:tc>
        <w:tc>
          <w:tcPr>
            <w:tcW w:w="564" w:type="pct"/>
            <w:tcBorders>
              <w:top w:val="nil"/>
              <w:left w:val="nil"/>
              <w:bottom w:val="single" w:sz="6" w:space="0" w:color="auto"/>
              <w:right w:val="nil"/>
            </w:tcBorders>
          </w:tcPr>
          <w:p w14:paraId="56EDA0D9"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Model 2, innovation- active</w:t>
            </w:r>
          </w:p>
        </w:tc>
        <w:tc>
          <w:tcPr>
            <w:tcW w:w="564" w:type="pct"/>
            <w:tcBorders>
              <w:top w:val="nil"/>
              <w:left w:val="nil"/>
              <w:bottom w:val="single" w:sz="6" w:space="0" w:color="auto"/>
              <w:right w:val="nil"/>
            </w:tcBorders>
          </w:tcPr>
          <w:p w14:paraId="7540972B"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Model 3</w:t>
            </w:r>
          </w:p>
        </w:tc>
      </w:tr>
      <w:tr w:rsidR="000F16C4" w:rsidRPr="000F16C4" w14:paraId="228E173F" w14:textId="77777777" w:rsidTr="000972AF">
        <w:trPr>
          <w:jc w:val="center"/>
        </w:trPr>
        <w:tc>
          <w:tcPr>
            <w:tcW w:w="1094" w:type="pct"/>
            <w:tcBorders>
              <w:top w:val="nil"/>
              <w:left w:val="nil"/>
              <w:bottom w:val="nil"/>
              <w:right w:val="nil"/>
            </w:tcBorders>
          </w:tcPr>
          <w:p w14:paraId="3D42403E" w14:textId="77777777" w:rsidR="000F16C4" w:rsidRPr="000F16C4" w:rsidRDefault="000F16C4" w:rsidP="000972AF">
            <w:pPr>
              <w:widowControl w:val="0"/>
              <w:autoSpaceDE w:val="0"/>
              <w:autoSpaceDN w:val="0"/>
              <w:adjustRightInd w:val="0"/>
              <w:spacing w:after="0" w:line="240" w:lineRule="auto"/>
              <w:rPr>
                <w:sz w:val="22"/>
                <w:szCs w:val="24"/>
              </w:rPr>
            </w:pPr>
          </w:p>
        </w:tc>
        <w:tc>
          <w:tcPr>
            <w:tcW w:w="403" w:type="pct"/>
            <w:tcBorders>
              <w:top w:val="nil"/>
              <w:left w:val="nil"/>
              <w:bottom w:val="nil"/>
              <w:right w:val="nil"/>
            </w:tcBorders>
          </w:tcPr>
          <w:p w14:paraId="31A76723"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403" w:type="pct"/>
            <w:tcBorders>
              <w:top w:val="nil"/>
              <w:left w:val="nil"/>
              <w:bottom w:val="nil"/>
              <w:right w:val="nil"/>
            </w:tcBorders>
          </w:tcPr>
          <w:p w14:paraId="7E2C70AB"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438" w:type="pct"/>
            <w:tcBorders>
              <w:top w:val="nil"/>
              <w:left w:val="nil"/>
              <w:bottom w:val="nil"/>
              <w:right w:val="nil"/>
            </w:tcBorders>
          </w:tcPr>
          <w:p w14:paraId="09EB50DA"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406" w:type="pct"/>
            <w:tcBorders>
              <w:top w:val="nil"/>
              <w:left w:val="nil"/>
              <w:bottom w:val="nil"/>
              <w:right w:val="nil"/>
            </w:tcBorders>
          </w:tcPr>
          <w:p w14:paraId="23897112"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564" w:type="pct"/>
            <w:tcBorders>
              <w:top w:val="nil"/>
              <w:left w:val="nil"/>
              <w:bottom w:val="nil"/>
              <w:right w:val="nil"/>
            </w:tcBorders>
          </w:tcPr>
          <w:p w14:paraId="6AC38A04"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564" w:type="pct"/>
            <w:tcBorders>
              <w:top w:val="nil"/>
              <w:left w:val="nil"/>
              <w:bottom w:val="nil"/>
              <w:right w:val="nil"/>
            </w:tcBorders>
          </w:tcPr>
          <w:p w14:paraId="6A92AA6B"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564" w:type="pct"/>
            <w:tcBorders>
              <w:top w:val="nil"/>
              <w:left w:val="nil"/>
              <w:bottom w:val="nil"/>
              <w:right w:val="nil"/>
            </w:tcBorders>
          </w:tcPr>
          <w:p w14:paraId="17A0CB73"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564" w:type="pct"/>
            <w:tcBorders>
              <w:top w:val="nil"/>
              <w:left w:val="nil"/>
              <w:bottom w:val="nil"/>
              <w:right w:val="nil"/>
            </w:tcBorders>
          </w:tcPr>
          <w:p w14:paraId="0EA9C8EE" w14:textId="77777777" w:rsidR="000F16C4" w:rsidRPr="000F16C4" w:rsidRDefault="000F16C4" w:rsidP="000972AF">
            <w:pPr>
              <w:widowControl w:val="0"/>
              <w:autoSpaceDE w:val="0"/>
              <w:autoSpaceDN w:val="0"/>
              <w:adjustRightInd w:val="0"/>
              <w:spacing w:after="0" w:line="240" w:lineRule="auto"/>
              <w:jc w:val="center"/>
              <w:rPr>
                <w:sz w:val="22"/>
                <w:szCs w:val="24"/>
              </w:rPr>
            </w:pPr>
          </w:p>
        </w:tc>
      </w:tr>
      <w:tr w:rsidR="000F16C4" w:rsidRPr="000F16C4" w14:paraId="4CBCEB0D" w14:textId="77777777" w:rsidTr="000972AF">
        <w:trPr>
          <w:jc w:val="center"/>
        </w:trPr>
        <w:tc>
          <w:tcPr>
            <w:tcW w:w="1094" w:type="pct"/>
            <w:tcBorders>
              <w:top w:val="nil"/>
              <w:left w:val="nil"/>
              <w:bottom w:val="nil"/>
              <w:right w:val="nil"/>
            </w:tcBorders>
          </w:tcPr>
          <w:p w14:paraId="401E9BFC" w14:textId="77777777" w:rsidR="000F16C4" w:rsidRPr="000F16C4" w:rsidRDefault="000F16C4" w:rsidP="000972AF">
            <w:pPr>
              <w:widowControl w:val="0"/>
              <w:autoSpaceDE w:val="0"/>
              <w:autoSpaceDN w:val="0"/>
              <w:adjustRightInd w:val="0"/>
              <w:spacing w:after="0" w:line="240" w:lineRule="auto"/>
              <w:rPr>
                <w:sz w:val="22"/>
                <w:szCs w:val="24"/>
              </w:rPr>
            </w:pPr>
            <w:r w:rsidRPr="000F16C4">
              <w:rPr>
                <w:sz w:val="22"/>
                <w:szCs w:val="24"/>
              </w:rPr>
              <w:t>Innovation t-1</w:t>
            </w:r>
          </w:p>
        </w:tc>
        <w:tc>
          <w:tcPr>
            <w:tcW w:w="403" w:type="pct"/>
            <w:tcBorders>
              <w:top w:val="nil"/>
              <w:left w:val="nil"/>
              <w:bottom w:val="nil"/>
              <w:right w:val="nil"/>
            </w:tcBorders>
          </w:tcPr>
          <w:p w14:paraId="7152F30D"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403" w:type="pct"/>
            <w:tcBorders>
              <w:top w:val="nil"/>
              <w:left w:val="nil"/>
              <w:bottom w:val="nil"/>
              <w:right w:val="nil"/>
            </w:tcBorders>
          </w:tcPr>
          <w:p w14:paraId="16433821"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0.49***</w:t>
            </w:r>
          </w:p>
        </w:tc>
        <w:tc>
          <w:tcPr>
            <w:tcW w:w="438" w:type="pct"/>
            <w:tcBorders>
              <w:top w:val="nil"/>
              <w:left w:val="nil"/>
              <w:bottom w:val="nil"/>
              <w:right w:val="nil"/>
            </w:tcBorders>
          </w:tcPr>
          <w:p w14:paraId="2BCD0DF3"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0.44***</w:t>
            </w:r>
          </w:p>
        </w:tc>
        <w:tc>
          <w:tcPr>
            <w:tcW w:w="406" w:type="pct"/>
            <w:tcBorders>
              <w:top w:val="nil"/>
              <w:left w:val="nil"/>
              <w:bottom w:val="nil"/>
              <w:right w:val="nil"/>
            </w:tcBorders>
          </w:tcPr>
          <w:p w14:paraId="749CF373"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0.49***</w:t>
            </w:r>
          </w:p>
        </w:tc>
        <w:tc>
          <w:tcPr>
            <w:tcW w:w="564" w:type="pct"/>
            <w:tcBorders>
              <w:top w:val="nil"/>
              <w:left w:val="nil"/>
              <w:bottom w:val="nil"/>
              <w:right w:val="nil"/>
            </w:tcBorders>
          </w:tcPr>
          <w:p w14:paraId="44346A41"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564" w:type="pct"/>
            <w:tcBorders>
              <w:top w:val="nil"/>
              <w:left w:val="nil"/>
              <w:bottom w:val="nil"/>
              <w:right w:val="nil"/>
            </w:tcBorders>
          </w:tcPr>
          <w:p w14:paraId="29DD139C"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0.51***</w:t>
            </w:r>
          </w:p>
        </w:tc>
        <w:tc>
          <w:tcPr>
            <w:tcW w:w="564" w:type="pct"/>
            <w:tcBorders>
              <w:top w:val="nil"/>
              <w:left w:val="nil"/>
              <w:bottom w:val="nil"/>
              <w:right w:val="nil"/>
            </w:tcBorders>
          </w:tcPr>
          <w:p w14:paraId="214612E7"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0.47***</w:t>
            </w:r>
          </w:p>
        </w:tc>
        <w:tc>
          <w:tcPr>
            <w:tcW w:w="564" w:type="pct"/>
            <w:tcBorders>
              <w:top w:val="nil"/>
              <w:left w:val="nil"/>
              <w:bottom w:val="nil"/>
              <w:right w:val="nil"/>
            </w:tcBorders>
          </w:tcPr>
          <w:p w14:paraId="184FE97C"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0.50***</w:t>
            </w:r>
          </w:p>
        </w:tc>
      </w:tr>
      <w:tr w:rsidR="000F16C4" w:rsidRPr="000F16C4" w14:paraId="762C26D5" w14:textId="77777777" w:rsidTr="000972AF">
        <w:trPr>
          <w:jc w:val="center"/>
        </w:trPr>
        <w:tc>
          <w:tcPr>
            <w:tcW w:w="1094" w:type="pct"/>
            <w:tcBorders>
              <w:top w:val="nil"/>
              <w:left w:val="nil"/>
              <w:bottom w:val="nil"/>
              <w:right w:val="nil"/>
            </w:tcBorders>
          </w:tcPr>
          <w:p w14:paraId="069223A0" w14:textId="77777777" w:rsidR="000F16C4" w:rsidRPr="000F16C4" w:rsidRDefault="000F16C4" w:rsidP="000972AF">
            <w:pPr>
              <w:widowControl w:val="0"/>
              <w:autoSpaceDE w:val="0"/>
              <w:autoSpaceDN w:val="0"/>
              <w:adjustRightInd w:val="0"/>
              <w:spacing w:after="0" w:line="240" w:lineRule="auto"/>
              <w:rPr>
                <w:sz w:val="22"/>
                <w:szCs w:val="24"/>
              </w:rPr>
            </w:pPr>
          </w:p>
        </w:tc>
        <w:tc>
          <w:tcPr>
            <w:tcW w:w="403" w:type="pct"/>
            <w:tcBorders>
              <w:top w:val="nil"/>
              <w:left w:val="nil"/>
              <w:bottom w:val="nil"/>
              <w:right w:val="nil"/>
            </w:tcBorders>
          </w:tcPr>
          <w:p w14:paraId="2F6D52B2"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403" w:type="pct"/>
            <w:tcBorders>
              <w:top w:val="nil"/>
              <w:left w:val="nil"/>
              <w:bottom w:val="nil"/>
              <w:right w:val="nil"/>
            </w:tcBorders>
          </w:tcPr>
          <w:p w14:paraId="100A3887"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(0.04)</w:t>
            </w:r>
          </w:p>
        </w:tc>
        <w:tc>
          <w:tcPr>
            <w:tcW w:w="438" w:type="pct"/>
            <w:tcBorders>
              <w:top w:val="nil"/>
              <w:left w:val="nil"/>
              <w:bottom w:val="nil"/>
              <w:right w:val="nil"/>
            </w:tcBorders>
          </w:tcPr>
          <w:p w14:paraId="73275FEB"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(0.04)</w:t>
            </w:r>
          </w:p>
        </w:tc>
        <w:tc>
          <w:tcPr>
            <w:tcW w:w="406" w:type="pct"/>
            <w:tcBorders>
              <w:top w:val="nil"/>
              <w:left w:val="nil"/>
              <w:bottom w:val="nil"/>
              <w:right w:val="nil"/>
            </w:tcBorders>
          </w:tcPr>
          <w:p w14:paraId="4897A226"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(0.04)</w:t>
            </w:r>
          </w:p>
        </w:tc>
        <w:tc>
          <w:tcPr>
            <w:tcW w:w="564" w:type="pct"/>
            <w:tcBorders>
              <w:top w:val="nil"/>
              <w:left w:val="nil"/>
              <w:bottom w:val="nil"/>
              <w:right w:val="nil"/>
            </w:tcBorders>
          </w:tcPr>
          <w:p w14:paraId="7C34554E"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564" w:type="pct"/>
            <w:tcBorders>
              <w:top w:val="nil"/>
              <w:left w:val="nil"/>
              <w:bottom w:val="nil"/>
              <w:right w:val="nil"/>
            </w:tcBorders>
          </w:tcPr>
          <w:p w14:paraId="7EB998CE"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(0.06)</w:t>
            </w:r>
          </w:p>
        </w:tc>
        <w:tc>
          <w:tcPr>
            <w:tcW w:w="564" w:type="pct"/>
            <w:tcBorders>
              <w:top w:val="nil"/>
              <w:left w:val="nil"/>
              <w:bottom w:val="nil"/>
              <w:right w:val="nil"/>
            </w:tcBorders>
          </w:tcPr>
          <w:p w14:paraId="31280043"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(0.06)</w:t>
            </w:r>
          </w:p>
        </w:tc>
        <w:tc>
          <w:tcPr>
            <w:tcW w:w="564" w:type="pct"/>
            <w:tcBorders>
              <w:top w:val="nil"/>
              <w:left w:val="nil"/>
              <w:bottom w:val="nil"/>
              <w:right w:val="nil"/>
            </w:tcBorders>
          </w:tcPr>
          <w:p w14:paraId="669ED3B1"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(0.06)</w:t>
            </w:r>
          </w:p>
        </w:tc>
      </w:tr>
      <w:tr w:rsidR="000F16C4" w:rsidRPr="000F16C4" w14:paraId="770E5C25" w14:textId="77777777" w:rsidTr="000972AF">
        <w:trPr>
          <w:jc w:val="center"/>
        </w:trPr>
        <w:tc>
          <w:tcPr>
            <w:tcW w:w="1094" w:type="pct"/>
            <w:tcBorders>
              <w:top w:val="nil"/>
              <w:left w:val="nil"/>
              <w:bottom w:val="nil"/>
              <w:right w:val="nil"/>
            </w:tcBorders>
          </w:tcPr>
          <w:p w14:paraId="16DAAB0C" w14:textId="77777777" w:rsidR="000F16C4" w:rsidRPr="000F16C4" w:rsidRDefault="000F16C4" w:rsidP="000972AF">
            <w:pPr>
              <w:widowControl w:val="0"/>
              <w:autoSpaceDE w:val="0"/>
              <w:autoSpaceDN w:val="0"/>
              <w:adjustRightInd w:val="0"/>
              <w:spacing w:after="0" w:line="240" w:lineRule="auto"/>
              <w:rPr>
                <w:sz w:val="22"/>
                <w:szCs w:val="24"/>
              </w:rPr>
            </w:pPr>
            <w:r w:rsidRPr="000F16C4">
              <w:rPr>
                <w:sz w:val="22"/>
                <w:szCs w:val="24"/>
              </w:rPr>
              <w:t>Regional partners</w:t>
            </w:r>
          </w:p>
        </w:tc>
        <w:tc>
          <w:tcPr>
            <w:tcW w:w="403" w:type="pct"/>
            <w:tcBorders>
              <w:top w:val="nil"/>
              <w:left w:val="nil"/>
              <w:bottom w:val="nil"/>
              <w:right w:val="nil"/>
            </w:tcBorders>
          </w:tcPr>
          <w:p w14:paraId="5DE0B3F7"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1.07</w:t>
            </w:r>
          </w:p>
        </w:tc>
        <w:tc>
          <w:tcPr>
            <w:tcW w:w="403" w:type="pct"/>
            <w:tcBorders>
              <w:top w:val="nil"/>
              <w:left w:val="nil"/>
              <w:bottom w:val="nil"/>
              <w:right w:val="nil"/>
            </w:tcBorders>
          </w:tcPr>
          <w:p w14:paraId="1064E4F3"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0.46</w:t>
            </w:r>
          </w:p>
        </w:tc>
        <w:tc>
          <w:tcPr>
            <w:tcW w:w="438" w:type="pct"/>
            <w:tcBorders>
              <w:top w:val="nil"/>
              <w:left w:val="nil"/>
              <w:bottom w:val="nil"/>
              <w:right w:val="nil"/>
            </w:tcBorders>
          </w:tcPr>
          <w:p w14:paraId="09AFE611"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0.34</w:t>
            </w:r>
          </w:p>
        </w:tc>
        <w:tc>
          <w:tcPr>
            <w:tcW w:w="406" w:type="pct"/>
            <w:tcBorders>
              <w:top w:val="nil"/>
              <w:left w:val="nil"/>
              <w:bottom w:val="nil"/>
              <w:right w:val="nil"/>
            </w:tcBorders>
          </w:tcPr>
          <w:p w14:paraId="3C19DEF6"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0.78</w:t>
            </w:r>
          </w:p>
        </w:tc>
        <w:tc>
          <w:tcPr>
            <w:tcW w:w="564" w:type="pct"/>
            <w:tcBorders>
              <w:top w:val="nil"/>
              <w:left w:val="nil"/>
              <w:bottom w:val="nil"/>
              <w:right w:val="nil"/>
            </w:tcBorders>
          </w:tcPr>
          <w:p w14:paraId="478B5377"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0.70</w:t>
            </w:r>
          </w:p>
        </w:tc>
        <w:tc>
          <w:tcPr>
            <w:tcW w:w="564" w:type="pct"/>
            <w:tcBorders>
              <w:top w:val="nil"/>
              <w:left w:val="nil"/>
              <w:bottom w:val="nil"/>
              <w:right w:val="nil"/>
            </w:tcBorders>
          </w:tcPr>
          <w:p w14:paraId="470DDCBD"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0.13</w:t>
            </w:r>
          </w:p>
        </w:tc>
        <w:tc>
          <w:tcPr>
            <w:tcW w:w="564" w:type="pct"/>
            <w:tcBorders>
              <w:top w:val="nil"/>
              <w:left w:val="nil"/>
              <w:bottom w:val="nil"/>
              <w:right w:val="nil"/>
            </w:tcBorders>
          </w:tcPr>
          <w:p w14:paraId="79DA16B3"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0.01</w:t>
            </w:r>
          </w:p>
        </w:tc>
        <w:tc>
          <w:tcPr>
            <w:tcW w:w="564" w:type="pct"/>
            <w:tcBorders>
              <w:top w:val="nil"/>
              <w:left w:val="nil"/>
              <w:bottom w:val="nil"/>
              <w:right w:val="nil"/>
            </w:tcBorders>
          </w:tcPr>
          <w:p w14:paraId="3EA5BB47"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1.83</w:t>
            </w:r>
          </w:p>
        </w:tc>
      </w:tr>
      <w:tr w:rsidR="000F16C4" w:rsidRPr="000F16C4" w14:paraId="7C849A72" w14:textId="77777777" w:rsidTr="000972AF">
        <w:trPr>
          <w:jc w:val="center"/>
        </w:trPr>
        <w:tc>
          <w:tcPr>
            <w:tcW w:w="1094" w:type="pct"/>
            <w:tcBorders>
              <w:top w:val="nil"/>
              <w:left w:val="nil"/>
              <w:bottom w:val="nil"/>
              <w:right w:val="nil"/>
            </w:tcBorders>
          </w:tcPr>
          <w:p w14:paraId="7CF1F0F9" w14:textId="77777777" w:rsidR="000F16C4" w:rsidRPr="000F16C4" w:rsidRDefault="000F16C4" w:rsidP="000972AF">
            <w:pPr>
              <w:widowControl w:val="0"/>
              <w:autoSpaceDE w:val="0"/>
              <w:autoSpaceDN w:val="0"/>
              <w:adjustRightInd w:val="0"/>
              <w:spacing w:after="0" w:line="240" w:lineRule="auto"/>
              <w:rPr>
                <w:sz w:val="22"/>
                <w:szCs w:val="24"/>
              </w:rPr>
            </w:pPr>
          </w:p>
        </w:tc>
        <w:tc>
          <w:tcPr>
            <w:tcW w:w="403" w:type="pct"/>
            <w:tcBorders>
              <w:top w:val="nil"/>
              <w:left w:val="nil"/>
              <w:bottom w:val="nil"/>
              <w:right w:val="nil"/>
            </w:tcBorders>
          </w:tcPr>
          <w:p w14:paraId="68B67245"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(0.70)</w:t>
            </w:r>
          </w:p>
        </w:tc>
        <w:tc>
          <w:tcPr>
            <w:tcW w:w="403" w:type="pct"/>
            <w:tcBorders>
              <w:top w:val="nil"/>
              <w:left w:val="nil"/>
              <w:bottom w:val="nil"/>
              <w:right w:val="nil"/>
            </w:tcBorders>
          </w:tcPr>
          <w:p w14:paraId="3A4ABDF9"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(0.65)</w:t>
            </w:r>
          </w:p>
        </w:tc>
        <w:tc>
          <w:tcPr>
            <w:tcW w:w="438" w:type="pct"/>
            <w:tcBorders>
              <w:top w:val="nil"/>
              <w:left w:val="nil"/>
              <w:bottom w:val="nil"/>
              <w:right w:val="nil"/>
            </w:tcBorders>
          </w:tcPr>
          <w:p w14:paraId="6066CB6D"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(0.63)</w:t>
            </w:r>
          </w:p>
        </w:tc>
        <w:tc>
          <w:tcPr>
            <w:tcW w:w="406" w:type="pct"/>
            <w:tcBorders>
              <w:top w:val="nil"/>
              <w:left w:val="nil"/>
              <w:bottom w:val="nil"/>
              <w:right w:val="nil"/>
            </w:tcBorders>
          </w:tcPr>
          <w:p w14:paraId="629709DC"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(1.31)</w:t>
            </w:r>
          </w:p>
        </w:tc>
        <w:tc>
          <w:tcPr>
            <w:tcW w:w="564" w:type="pct"/>
            <w:tcBorders>
              <w:top w:val="nil"/>
              <w:left w:val="nil"/>
              <w:bottom w:val="nil"/>
              <w:right w:val="nil"/>
            </w:tcBorders>
          </w:tcPr>
          <w:p w14:paraId="57622106"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(0.70)</w:t>
            </w:r>
          </w:p>
        </w:tc>
        <w:tc>
          <w:tcPr>
            <w:tcW w:w="564" w:type="pct"/>
            <w:tcBorders>
              <w:top w:val="nil"/>
              <w:left w:val="nil"/>
              <w:bottom w:val="nil"/>
              <w:right w:val="nil"/>
            </w:tcBorders>
          </w:tcPr>
          <w:p w14:paraId="6A99D6CB"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(0.68)</w:t>
            </w:r>
          </w:p>
        </w:tc>
        <w:tc>
          <w:tcPr>
            <w:tcW w:w="564" w:type="pct"/>
            <w:tcBorders>
              <w:top w:val="nil"/>
              <w:left w:val="nil"/>
              <w:bottom w:val="nil"/>
              <w:right w:val="nil"/>
            </w:tcBorders>
          </w:tcPr>
          <w:p w14:paraId="2AD20E00"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(0.65)</w:t>
            </w:r>
          </w:p>
        </w:tc>
        <w:tc>
          <w:tcPr>
            <w:tcW w:w="564" w:type="pct"/>
            <w:tcBorders>
              <w:top w:val="nil"/>
              <w:left w:val="nil"/>
              <w:bottom w:val="nil"/>
              <w:right w:val="nil"/>
            </w:tcBorders>
          </w:tcPr>
          <w:p w14:paraId="576FF130"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(1.33)</w:t>
            </w:r>
          </w:p>
        </w:tc>
      </w:tr>
      <w:tr w:rsidR="000F16C4" w:rsidRPr="000F16C4" w14:paraId="7610A064" w14:textId="77777777" w:rsidTr="000972AF">
        <w:trPr>
          <w:jc w:val="center"/>
        </w:trPr>
        <w:tc>
          <w:tcPr>
            <w:tcW w:w="1094" w:type="pct"/>
            <w:tcBorders>
              <w:top w:val="nil"/>
              <w:left w:val="nil"/>
              <w:bottom w:val="nil"/>
              <w:right w:val="nil"/>
            </w:tcBorders>
          </w:tcPr>
          <w:p w14:paraId="062609B8" w14:textId="77777777" w:rsidR="000F16C4" w:rsidRPr="000F16C4" w:rsidRDefault="000F16C4" w:rsidP="000972AF">
            <w:pPr>
              <w:widowControl w:val="0"/>
              <w:autoSpaceDE w:val="0"/>
              <w:autoSpaceDN w:val="0"/>
              <w:adjustRightInd w:val="0"/>
              <w:spacing w:after="0" w:line="240" w:lineRule="auto"/>
              <w:rPr>
                <w:sz w:val="22"/>
                <w:szCs w:val="24"/>
              </w:rPr>
            </w:pPr>
            <w:r w:rsidRPr="000F16C4">
              <w:rPr>
                <w:sz w:val="22"/>
                <w:szCs w:val="24"/>
              </w:rPr>
              <w:t>National partners</w:t>
            </w:r>
          </w:p>
        </w:tc>
        <w:tc>
          <w:tcPr>
            <w:tcW w:w="403" w:type="pct"/>
            <w:tcBorders>
              <w:top w:val="nil"/>
              <w:left w:val="nil"/>
              <w:bottom w:val="nil"/>
              <w:right w:val="nil"/>
            </w:tcBorders>
          </w:tcPr>
          <w:p w14:paraId="7C4F8685"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-0.48</w:t>
            </w:r>
          </w:p>
        </w:tc>
        <w:tc>
          <w:tcPr>
            <w:tcW w:w="403" w:type="pct"/>
            <w:tcBorders>
              <w:top w:val="nil"/>
              <w:left w:val="nil"/>
              <w:bottom w:val="nil"/>
              <w:right w:val="nil"/>
            </w:tcBorders>
          </w:tcPr>
          <w:p w14:paraId="11E8A2BE"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-0.76</w:t>
            </w:r>
          </w:p>
        </w:tc>
        <w:tc>
          <w:tcPr>
            <w:tcW w:w="438" w:type="pct"/>
            <w:tcBorders>
              <w:top w:val="nil"/>
              <w:left w:val="nil"/>
              <w:bottom w:val="nil"/>
              <w:right w:val="nil"/>
            </w:tcBorders>
          </w:tcPr>
          <w:p w14:paraId="24B80168"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-0.58</w:t>
            </w:r>
          </w:p>
        </w:tc>
        <w:tc>
          <w:tcPr>
            <w:tcW w:w="406" w:type="pct"/>
            <w:tcBorders>
              <w:top w:val="nil"/>
              <w:left w:val="nil"/>
              <w:bottom w:val="nil"/>
              <w:right w:val="nil"/>
            </w:tcBorders>
          </w:tcPr>
          <w:p w14:paraId="421AB6F7"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-0.65</w:t>
            </w:r>
          </w:p>
        </w:tc>
        <w:tc>
          <w:tcPr>
            <w:tcW w:w="564" w:type="pct"/>
            <w:tcBorders>
              <w:top w:val="nil"/>
              <w:left w:val="nil"/>
              <w:bottom w:val="nil"/>
              <w:right w:val="nil"/>
            </w:tcBorders>
          </w:tcPr>
          <w:p w14:paraId="15EA06D0"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0.17</w:t>
            </w:r>
          </w:p>
        </w:tc>
        <w:tc>
          <w:tcPr>
            <w:tcW w:w="564" w:type="pct"/>
            <w:tcBorders>
              <w:top w:val="nil"/>
              <w:left w:val="nil"/>
              <w:bottom w:val="nil"/>
              <w:right w:val="nil"/>
            </w:tcBorders>
          </w:tcPr>
          <w:p w14:paraId="4E140E50"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0.06</w:t>
            </w:r>
          </w:p>
        </w:tc>
        <w:tc>
          <w:tcPr>
            <w:tcW w:w="564" w:type="pct"/>
            <w:tcBorders>
              <w:top w:val="nil"/>
              <w:left w:val="nil"/>
              <w:bottom w:val="nil"/>
              <w:right w:val="nil"/>
            </w:tcBorders>
          </w:tcPr>
          <w:p w14:paraId="7275E81A"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0.19</w:t>
            </w:r>
          </w:p>
        </w:tc>
        <w:tc>
          <w:tcPr>
            <w:tcW w:w="564" w:type="pct"/>
            <w:tcBorders>
              <w:top w:val="nil"/>
              <w:left w:val="nil"/>
              <w:bottom w:val="nil"/>
              <w:right w:val="nil"/>
            </w:tcBorders>
          </w:tcPr>
          <w:p w14:paraId="305633DE"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0.17</w:t>
            </w:r>
          </w:p>
        </w:tc>
      </w:tr>
      <w:tr w:rsidR="000F16C4" w:rsidRPr="000F16C4" w14:paraId="4E411519" w14:textId="77777777" w:rsidTr="000972AF">
        <w:trPr>
          <w:jc w:val="center"/>
        </w:trPr>
        <w:tc>
          <w:tcPr>
            <w:tcW w:w="1094" w:type="pct"/>
            <w:tcBorders>
              <w:top w:val="nil"/>
              <w:left w:val="nil"/>
              <w:bottom w:val="nil"/>
              <w:right w:val="nil"/>
            </w:tcBorders>
          </w:tcPr>
          <w:p w14:paraId="76E606E0" w14:textId="77777777" w:rsidR="000F16C4" w:rsidRPr="000F16C4" w:rsidRDefault="000F16C4" w:rsidP="000972AF">
            <w:pPr>
              <w:widowControl w:val="0"/>
              <w:autoSpaceDE w:val="0"/>
              <w:autoSpaceDN w:val="0"/>
              <w:adjustRightInd w:val="0"/>
              <w:spacing w:after="0" w:line="240" w:lineRule="auto"/>
              <w:rPr>
                <w:sz w:val="22"/>
                <w:szCs w:val="24"/>
              </w:rPr>
            </w:pPr>
          </w:p>
        </w:tc>
        <w:tc>
          <w:tcPr>
            <w:tcW w:w="403" w:type="pct"/>
            <w:tcBorders>
              <w:top w:val="nil"/>
              <w:left w:val="nil"/>
              <w:bottom w:val="nil"/>
              <w:right w:val="nil"/>
            </w:tcBorders>
          </w:tcPr>
          <w:p w14:paraId="71A2A49A"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(0.65)</w:t>
            </w:r>
          </w:p>
        </w:tc>
        <w:tc>
          <w:tcPr>
            <w:tcW w:w="403" w:type="pct"/>
            <w:tcBorders>
              <w:top w:val="nil"/>
              <w:left w:val="nil"/>
              <w:bottom w:val="nil"/>
              <w:right w:val="nil"/>
            </w:tcBorders>
          </w:tcPr>
          <w:p w14:paraId="07919113"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(0.62)</w:t>
            </w:r>
          </w:p>
        </w:tc>
        <w:tc>
          <w:tcPr>
            <w:tcW w:w="438" w:type="pct"/>
            <w:tcBorders>
              <w:top w:val="nil"/>
              <w:left w:val="nil"/>
              <w:bottom w:val="nil"/>
              <w:right w:val="nil"/>
            </w:tcBorders>
          </w:tcPr>
          <w:p w14:paraId="76773361"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(0.59)</w:t>
            </w:r>
          </w:p>
        </w:tc>
        <w:tc>
          <w:tcPr>
            <w:tcW w:w="406" w:type="pct"/>
            <w:tcBorders>
              <w:top w:val="nil"/>
              <w:left w:val="nil"/>
              <w:bottom w:val="nil"/>
              <w:right w:val="nil"/>
            </w:tcBorders>
          </w:tcPr>
          <w:p w14:paraId="55FB1A41"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(0.62)</w:t>
            </w:r>
          </w:p>
        </w:tc>
        <w:tc>
          <w:tcPr>
            <w:tcW w:w="564" w:type="pct"/>
            <w:tcBorders>
              <w:top w:val="nil"/>
              <w:left w:val="nil"/>
              <w:bottom w:val="nil"/>
              <w:right w:val="nil"/>
            </w:tcBorders>
          </w:tcPr>
          <w:p w14:paraId="1D2B1FEF"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(0.65)</w:t>
            </w:r>
          </w:p>
        </w:tc>
        <w:tc>
          <w:tcPr>
            <w:tcW w:w="564" w:type="pct"/>
            <w:tcBorders>
              <w:top w:val="nil"/>
              <w:left w:val="nil"/>
              <w:bottom w:val="nil"/>
              <w:right w:val="nil"/>
            </w:tcBorders>
          </w:tcPr>
          <w:p w14:paraId="1A74D204"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(0.63)</w:t>
            </w:r>
          </w:p>
        </w:tc>
        <w:tc>
          <w:tcPr>
            <w:tcW w:w="564" w:type="pct"/>
            <w:tcBorders>
              <w:top w:val="nil"/>
              <w:left w:val="nil"/>
              <w:bottom w:val="nil"/>
              <w:right w:val="nil"/>
            </w:tcBorders>
          </w:tcPr>
          <w:p w14:paraId="0EA9B427"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(0.60)</w:t>
            </w:r>
          </w:p>
        </w:tc>
        <w:tc>
          <w:tcPr>
            <w:tcW w:w="564" w:type="pct"/>
            <w:tcBorders>
              <w:top w:val="nil"/>
              <w:left w:val="nil"/>
              <w:bottom w:val="nil"/>
              <w:right w:val="nil"/>
            </w:tcBorders>
          </w:tcPr>
          <w:p w14:paraId="1F7107B3"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(0.62)</w:t>
            </w:r>
          </w:p>
        </w:tc>
      </w:tr>
      <w:tr w:rsidR="000F16C4" w:rsidRPr="000F16C4" w14:paraId="3B6B4AC8" w14:textId="77777777" w:rsidTr="000972AF">
        <w:trPr>
          <w:jc w:val="center"/>
        </w:trPr>
        <w:tc>
          <w:tcPr>
            <w:tcW w:w="1094" w:type="pct"/>
            <w:tcBorders>
              <w:top w:val="nil"/>
              <w:left w:val="nil"/>
              <w:bottom w:val="nil"/>
              <w:right w:val="nil"/>
            </w:tcBorders>
          </w:tcPr>
          <w:p w14:paraId="31D34D54" w14:textId="77777777" w:rsidR="000F16C4" w:rsidRPr="000F16C4" w:rsidRDefault="000F16C4" w:rsidP="000972AF">
            <w:pPr>
              <w:widowControl w:val="0"/>
              <w:autoSpaceDE w:val="0"/>
              <w:autoSpaceDN w:val="0"/>
              <w:adjustRightInd w:val="0"/>
              <w:spacing w:after="0" w:line="240" w:lineRule="auto"/>
              <w:rPr>
                <w:sz w:val="22"/>
                <w:szCs w:val="24"/>
              </w:rPr>
            </w:pPr>
            <w:r w:rsidRPr="000F16C4">
              <w:rPr>
                <w:sz w:val="22"/>
                <w:szCs w:val="24"/>
              </w:rPr>
              <w:t>Foreign partners</w:t>
            </w:r>
          </w:p>
        </w:tc>
        <w:tc>
          <w:tcPr>
            <w:tcW w:w="403" w:type="pct"/>
            <w:tcBorders>
              <w:top w:val="nil"/>
              <w:left w:val="nil"/>
              <w:bottom w:val="nil"/>
              <w:right w:val="nil"/>
            </w:tcBorders>
          </w:tcPr>
          <w:p w14:paraId="124A62EA"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2.58***</w:t>
            </w:r>
          </w:p>
        </w:tc>
        <w:tc>
          <w:tcPr>
            <w:tcW w:w="403" w:type="pct"/>
            <w:tcBorders>
              <w:top w:val="nil"/>
              <w:left w:val="nil"/>
              <w:bottom w:val="nil"/>
              <w:right w:val="nil"/>
            </w:tcBorders>
          </w:tcPr>
          <w:p w14:paraId="4AC164DA"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2.41***</w:t>
            </w:r>
          </w:p>
        </w:tc>
        <w:tc>
          <w:tcPr>
            <w:tcW w:w="438" w:type="pct"/>
            <w:tcBorders>
              <w:top w:val="nil"/>
              <w:left w:val="nil"/>
              <w:bottom w:val="nil"/>
              <w:right w:val="nil"/>
            </w:tcBorders>
          </w:tcPr>
          <w:p w14:paraId="7846E1B9"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2.83***</w:t>
            </w:r>
          </w:p>
        </w:tc>
        <w:tc>
          <w:tcPr>
            <w:tcW w:w="406" w:type="pct"/>
            <w:tcBorders>
              <w:top w:val="nil"/>
              <w:left w:val="nil"/>
              <w:bottom w:val="nil"/>
              <w:right w:val="nil"/>
            </w:tcBorders>
          </w:tcPr>
          <w:p w14:paraId="524E70F0"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2.45***</w:t>
            </w:r>
          </w:p>
        </w:tc>
        <w:tc>
          <w:tcPr>
            <w:tcW w:w="564" w:type="pct"/>
            <w:tcBorders>
              <w:top w:val="nil"/>
              <w:left w:val="nil"/>
              <w:bottom w:val="nil"/>
              <w:right w:val="nil"/>
            </w:tcBorders>
          </w:tcPr>
          <w:p w14:paraId="264F9569"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1.14+</w:t>
            </w:r>
          </w:p>
        </w:tc>
        <w:tc>
          <w:tcPr>
            <w:tcW w:w="564" w:type="pct"/>
            <w:tcBorders>
              <w:top w:val="nil"/>
              <w:left w:val="nil"/>
              <w:bottom w:val="nil"/>
              <w:right w:val="nil"/>
            </w:tcBorders>
          </w:tcPr>
          <w:p w14:paraId="5623980A"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1.00</w:t>
            </w:r>
          </w:p>
        </w:tc>
        <w:tc>
          <w:tcPr>
            <w:tcW w:w="564" w:type="pct"/>
            <w:tcBorders>
              <w:top w:val="nil"/>
              <w:left w:val="nil"/>
              <w:bottom w:val="nil"/>
              <w:right w:val="nil"/>
            </w:tcBorders>
          </w:tcPr>
          <w:p w14:paraId="2E8C88A2"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1.34*</w:t>
            </w:r>
          </w:p>
        </w:tc>
        <w:tc>
          <w:tcPr>
            <w:tcW w:w="564" w:type="pct"/>
            <w:tcBorders>
              <w:top w:val="nil"/>
              <w:left w:val="nil"/>
              <w:bottom w:val="nil"/>
              <w:right w:val="nil"/>
            </w:tcBorders>
          </w:tcPr>
          <w:p w14:paraId="60626FE3"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1.08+</w:t>
            </w:r>
          </w:p>
        </w:tc>
      </w:tr>
      <w:tr w:rsidR="000F16C4" w:rsidRPr="000F16C4" w14:paraId="13E9C3EB" w14:textId="77777777" w:rsidTr="000972AF">
        <w:trPr>
          <w:jc w:val="center"/>
        </w:trPr>
        <w:tc>
          <w:tcPr>
            <w:tcW w:w="1094" w:type="pct"/>
            <w:tcBorders>
              <w:top w:val="nil"/>
              <w:left w:val="nil"/>
              <w:bottom w:val="nil"/>
              <w:right w:val="nil"/>
            </w:tcBorders>
          </w:tcPr>
          <w:p w14:paraId="1E20A30A" w14:textId="77777777" w:rsidR="000F16C4" w:rsidRPr="000F16C4" w:rsidRDefault="000F16C4" w:rsidP="000972AF">
            <w:pPr>
              <w:widowControl w:val="0"/>
              <w:autoSpaceDE w:val="0"/>
              <w:autoSpaceDN w:val="0"/>
              <w:adjustRightInd w:val="0"/>
              <w:spacing w:after="0" w:line="240" w:lineRule="auto"/>
              <w:rPr>
                <w:sz w:val="22"/>
                <w:szCs w:val="24"/>
              </w:rPr>
            </w:pPr>
          </w:p>
        </w:tc>
        <w:tc>
          <w:tcPr>
            <w:tcW w:w="403" w:type="pct"/>
            <w:tcBorders>
              <w:top w:val="nil"/>
              <w:left w:val="nil"/>
              <w:bottom w:val="nil"/>
              <w:right w:val="nil"/>
            </w:tcBorders>
          </w:tcPr>
          <w:p w14:paraId="651B7BF1"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(0.64)</w:t>
            </w:r>
          </w:p>
        </w:tc>
        <w:tc>
          <w:tcPr>
            <w:tcW w:w="403" w:type="pct"/>
            <w:tcBorders>
              <w:top w:val="nil"/>
              <w:left w:val="nil"/>
              <w:bottom w:val="nil"/>
              <w:right w:val="nil"/>
            </w:tcBorders>
          </w:tcPr>
          <w:p w14:paraId="6A6EA710"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(0.60)</w:t>
            </w:r>
          </w:p>
        </w:tc>
        <w:tc>
          <w:tcPr>
            <w:tcW w:w="438" w:type="pct"/>
            <w:tcBorders>
              <w:top w:val="nil"/>
              <w:left w:val="nil"/>
              <w:bottom w:val="nil"/>
              <w:right w:val="nil"/>
            </w:tcBorders>
          </w:tcPr>
          <w:p w14:paraId="320BFAD6"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(0.58)</w:t>
            </w:r>
          </w:p>
        </w:tc>
        <w:tc>
          <w:tcPr>
            <w:tcW w:w="406" w:type="pct"/>
            <w:tcBorders>
              <w:top w:val="nil"/>
              <w:left w:val="nil"/>
              <w:bottom w:val="nil"/>
              <w:right w:val="nil"/>
            </w:tcBorders>
          </w:tcPr>
          <w:p w14:paraId="10A2BE69"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(0.60)</w:t>
            </w:r>
          </w:p>
        </w:tc>
        <w:tc>
          <w:tcPr>
            <w:tcW w:w="564" w:type="pct"/>
            <w:tcBorders>
              <w:top w:val="nil"/>
              <w:left w:val="nil"/>
              <w:bottom w:val="nil"/>
              <w:right w:val="nil"/>
            </w:tcBorders>
          </w:tcPr>
          <w:p w14:paraId="4E6F6D61"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(0.66)</w:t>
            </w:r>
          </w:p>
        </w:tc>
        <w:tc>
          <w:tcPr>
            <w:tcW w:w="564" w:type="pct"/>
            <w:tcBorders>
              <w:top w:val="nil"/>
              <w:left w:val="nil"/>
              <w:bottom w:val="nil"/>
              <w:right w:val="nil"/>
            </w:tcBorders>
          </w:tcPr>
          <w:p w14:paraId="23C3F4A9"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(0.64)</w:t>
            </w:r>
          </w:p>
        </w:tc>
        <w:tc>
          <w:tcPr>
            <w:tcW w:w="564" w:type="pct"/>
            <w:tcBorders>
              <w:top w:val="nil"/>
              <w:left w:val="nil"/>
              <w:bottom w:val="nil"/>
              <w:right w:val="nil"/>
            </w:tcBorders>
          </w:tcPr>
          <w:p w14:paraId="2F8DC9BE"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(0.62)</w:t>
            </w:r>
          </w:p>
        </w:tc>
        <w:tc>
          <w:tcPr>
            <w:tcW w:w="564" w:type="pct"/>
            <w:tcBorders>
              <w:top w:val="nil"/>
              <w:left w:val="nil"/>
              <w:bottom w:val="nil"/>
              <w:right w:val="nil"/>
            </w:tcBorders>
          </w:tcPr>
          <w:p w14:paraId="6D814966"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(0.63)</w:t>
            </w:r>
          </w:p>
        </w:tc>
      </w:tr>
      <w:tr w:rsidR="000F16C4" w:rsidRPr="000F16C4" w14:paraId="279C831C" w14:textId="77777777" w:rsidTr="000972AF">
        <w:trPr>
          <w:jc w:val="center"/>
        </w:trPr>
        <w:tc>
          <w:tcPr>
            <w:tcW w:w="1094" w:type="pct"/>
            <w:tcBorders>
              <w:top w:val="nil"/>
              <w:left w:val="nil"/>
              <w:bottom w:val="nil"/>
              <w:right w:val="nil"/>
            </w:tcBorders>
          </w:tcPr>
          <w:p w14:paraId="0A0DDD93" w14:textId="77777777" w:rsidR="000F16C4" w:rsidRPr="000F16C4" w:rsidRDefault="000F16C4" w:rsidP="000972AF">
            <w:pPr>
              <w:widowControl w:val="0"/>
              <w:autoSpaceDE w:val="0"/>
              <w:autoSpaceDN w:val="0"/>
              <w:adjustRightInd w:val="0"/>
              <w:spacing w:after="0" w:line="240" w:lineRule="auto"/>
              <w:rPr>
                <w:sz w:val="22"/>
                <w:szCs w:val="24"/>
              </w:rPr>
            </w:pPr>
            <w:r w:rsidRPr="000F16C4">
              <w:rPr>
                <w:sz w:val="22"/>
                <w:szCs w:val="24"/>
              </w:rPr>
              <w:t>Small city</w:t>
            </w:r>
          </w:p>
        </w:tc>
        <w:tc>
          <w:tcPr>
            <w:tcW w:w="403" w:type="pct"/>
            <w:tcBorders>
              <w:top w:val="nil"/>
              <w:left w:val="nil"/>
              <w:bottom w:val="nil"/>
              <w:right w:val="nil"/>
            </w:tcBorders>
          </w:tcPr>
          <w:p w14:paraId="50FA03A7"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1.66</w:t>
            </w:r>
          </w:p>
        </w:tc>
        <w:tc>
          <w:tcPr>
            <w:tcW w:w="403" w:type="pct"/>
            <w:tcBorders>
              <w:top w:val="nil"/>
              <w:left w:val="nil"/>
              <w:bottom w:val="nil"/>
              <w:right w:val="nil"/>
            </w:tcBorders>
          </w:tcPr>
          <w:p w14:paraId="226B00CD"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0.76</w:t>
            </w:r>
          </w:p>
        </w:tc>
        <w:tc>
          <w:tcPr>
            <w:tcW w:w="438" w:type="pct"/>
            <w:tcBorders>
              <w:top w:val="nil"/>
              <w:left w:val="nil"/>
              <w:bottom w:val="nil"/>
              <w:right w:val="nil"/>
            </w:tcBorders>
          </w:tcPr>
          <w:p w14:paraId="7E0A77DC"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1.52</w:t>
            </w:r>
          </w:p>
        </w:tc>
        <w:tc>
          <w:tcPr>
            <w:tcW w:w="406" w:type="pct"/>
            <w:tcBorders>
              <w:top w:val="nil"/>
              <w:left w:val="nil"/>
              <w:bottom w:val="nil"/>
              <w:right w:val="nil"/>
            </w:tcBorders>
          </w:tcPr>
          <w:p w14:paraId="72A52662"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1.22</w:t>
            </w:r>
          </w:p>
        </w:tc>
        <w:tc>
          <w:tcPr>
            <w:tcW w:w="564" w:type="pct"/>
            <w:tcBorders>
              <w:top w:val="nil"/>
              <w:left w:val="nil"/>
              <w:bottom w:val="nil"/>
              <w:right w:val="nil"/>
            </w:tcBorders>
          </w:tcPr>
          <w:p w14:paraId="44BE7A5B"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2.85</w:t>
            </w:r>
          </w:p>
        </w:tc>
        <w:tc>
          <w:tcPr>
            <w:tcW w:w="564" w:type="pct"/>
            <w:tcBorders>
              <w:top w:val="nil"/>
              <w:left w:val="nil"/>
              <w:bottom w:val="nil"/>
              <w:right w:val="nil"/>
            </w:tcBorders>
          </w:tcPr>
          <w:p w14:paraId="5A68DF88"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3.03</w:t>
            </w:r>
          </w:p>
        </w:tc>
        <w:tc>
          <w:tcPr>
            <w:tcW w:w="564" w:type="pct"/>
            <w:tcBorders>
              <w:top w:val="nil"/>
              <w:left w:val="nil"/>
              <w:bottom w:val="nil"/>
              <w:right w:val="nil"/>
            </w:tcBorders>
          </w:tcPr>
          <w:p w14:paraId="04544285"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2.63</w:t>
            </w:r>
          </w:p>
        </w:tc>
        <w:tc>
          <w:tcPr>
            <w:tcW w:w="564" w:type="pct"/>
            <w:tcBorders>
              <w:top w:val="nil"/>
              <w:left w:val="nil"/>
              <w:bottom w:val="nil"/>
              <w:right w:val="nil"/>
            </w:tcBorders>
          </w:tcPr>
          <w:p w14:paraId="2F88A130"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4.06+</w:t>
            </w:r>
          </w:p>
        </w:tc>
      </w:tr>
      <w:tr w:rsidR="000F16C4" w:rsidRPr="000F16C4" w14:paraId="52246EE7" w14:textId="77777777" w:rsidTr="000972AF">
        <w:trPr>
          <w:jc w:val="center"/>
        </w:trPr>
        <w:tc>
          <w:tcPr>
            <w:tcW w:w="1094" w:type="pct"/>
            <w:tcBorders>
              <w:top w:val="nil"/>
              <w:left w:val="nil"/>
              <w:bottom w:val="nil"/>
              <w:right w:val="nil"/>
            </w:tcBorders>
          </w:tcPr>
          <w:p w14:paraId="3A5E8664" w14:textId="77777777" w:rsidR="000F16C4" w:rsidRPr="000F16C4" w:rsidRDefault="000F16C4" w:rsidP="000972AF">
            <w:pPr>
              <w:widowControl w:val="0"/>
              <w:autoSpaceDE w:val="0"/>
              <w:autoSpaceDN w:val="0"/>
              <w:adjustRightInd w:val="0"/>
              <w:spacing w:after="0" w:line="240" w:lineRule="auto"/>
              <w:rPr>
                <w:sz w:val="22"/>
                <w:szCs w:val="24"/>
              </w:rPr>
            </w:pPr>
          </w:p>
        </w:tc>
        <w:tc>
          <w:tcPr>
            <w:tcW w:w="403" w:type="pct"/>
            <w:tcBorders>
              <w:top w:val="nil"/>
              <w:left w:val="nil"/>
              <w:bottom w:val="nil"/>
              <w:right w:val="nil"/>
            </w:tcBorders>
          </w:tcPr>
          <w:p w14:paraId="57566D2A"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(2.44)</w:t>
            </w:r>
          </w:p>
        </w:tc>
        <w:tc>
          <w:tcPr>
            <w:tcW w:w="403" w:type="pct"/>
            <w:tcBorders>
              <w:top w:val="nil"/>
              <w:left w:val="nil"/>
              <w:bottom w:val="nil"/>
              <w:right w:val="nil"/>
            </w:tcBorders>
          </w:tcPr>
          <w:p w14:paraId="29A6BEFF"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(2.26)</w:t>
            </w:r>
          </w:p>
        </w:tc>
        <w:tc>
          <w:tcPr>
            <w:tcW w:w="438" w:type="pct"/>
            <w:tcBorders>
              <w:top w:val="nil"/>
              <w:left w:val="nil"/>
              <w:bottom w:val="nil"/>
              <w:right w:val="nil"/>
            </w:tcBorders>
          </w:tcPr>
          <w:p w14:paraId="7CFA1533"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(2.48)</w:t>
            </w:r>
          </w:p>
        </w:tc>
        <w:tc>
          <w:tcPr>
            <w:tcW w:w="406" w:type="pct"/>
            <w:tcBorders>
              <w:top w:val="nil"/>
              <w:left w:val="nil"/>
              <w:bottom w:val="nil"/>
              <w:right w:val="nil"/>
            </w:tcBorders>
          </w:tcPr>
          <w:p w14:paraId="210C3A31"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(2.28)</w:t>
            </w:r>
          </w:p>
        </w:tc>
        <w:tc>
          <w:tcPr>
            <w:tcW w:w="564" w:type="pct"/>
            <w:tcBorders>
              <w:top w:val="nil"/>
              <w:left w:val="nil"/>
              <w:bottom w:val="nil"/>
              <w:right w:val="nil"/>
            </w:tcBorders>
          </w:tcPr>
          <w:p w14:paraId="6D213C98"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(2.45)</w:t>
            </w:r>
          </w:p>
        </w:tc>
        <w:tc>
          <w:tcPr>
            <w:tcW w:w="564" w:type="pct"/>
            <w:tcBorders>
              <w:top w:val="nil"/>
              <w:left w:val="nil"/>
              <w:bottom w:val="nil"/>
              <w:right w:val="nil"/>
            </w:tcBorders>
          </w:tcPr>
          <w:p w14:paraId="2F1E8868"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(2.32)</w:t>
            </w:r>
          </w:p>
        </w:tc>
        <w:tc>
          <w:tcPr>
            <w:tcW w:w="564" w:type="pct"/>
            <w:tcBorders>
              <w:top w:val="nil"/>
              <w:left w:val="nil"/>
              <w:bottom w:val="nil"/>
              <w:right w:val="nil"/>
            </w:tcBorders>
          </w:tcPr>
          <w:p w14:paraId="4163DAEB"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(2.54)</w:t>
            </w:r>
          </w:p>
        </w:tc>
        <w:tc>
          <w:tcPr>
            <w:tcW w:w="564" w:type="pct"/>
            <w:tcBorders>
              <w:top w:val="nil"/>
              <w:left w:val="nil"/>
              <w:bottom w:val="nil"/>
              <w:right w:val="nil"/>
            </w:tcBorders>
          </w:tcPr>
          <w:p w14:paraId="2ED23ABF"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(2.39)</w:t>
            </w:r>
          </w:p>
        </w:tc>
      </w:tr>
      <w:tr w:rsidR="000F16C4" w:rsidRPr="000F16C4" w14:paraId="7293678E" w14:textId="77777777" w:rsidTr="000972AF">
        <w:trPr>
          <w:jc w:val="center"/>
        </w:trPr>
        <w:tc>
          <w:tcPr>
            <w:tcW w:w="1094" w:type="pct"/>
            <w:tcBorders>
              <w:top w:val="nil"/>
              <w:left w:val="nil"/>
              <w:bottom w:val="nil"/>
              <w:right w:val="nil"/>
            </w:tcBorders>
          </w:tcPr>
          <w:p w14:paraId="5ABF72A0" w14:textId="77777777" w:rsidR="000F16C4" w:rsidRPr="000F16C4" w:rsidRDefault="000F16C4" w:rsidP="000972AF">
            <w:pPr>
              <w:widowControl w:val="0"/>
              <w:autoSpaceDE w:val="0"/>
              <w:autoSpaceDN w:val="0"/>
              <w:adjustRightInd w:val="0"/>
              <w:spacing w:after="0" w:line="240" w:lineRule="auto"/>
              <w:rPr>
                <w:sz w:val="22"/>
                <w:szCs w:val="24"/>
              </w:rPr>
            </w:pPr>
            <w:r w:rsidRPr="000F16C4">
              <w:rPr>
                <w:sz w:val="22"/>
                <w:szCs w:val="24"/>
              </w:rPr>
              <w:t>Medium city</w:t>
            </w:r>
          </w:p>
        </w:tc>
        <w:tc>
          <w:tcPr>
            <w:tcW w:w="403" w:type="pct"/>
            <w:tcBorders>
              <w:top w:val="nil"/>
              <w:left w:val="nil"/>
              <w:bottom w:val="nil"/>
              <w:right w:val="nil"/>
            </w:tcBorders>
          </w:tcPr>
          <w:p w14:paraId="7D9D54BD"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4.41</w:t>
            </w:r>
          </w:p>
        </w:tc>
        <w:tc>
          <w:tcPr>
            <w:tcW w:w="403" w:type="pct"/>
            <w:tcBorders>
              <w:top w:val="nil"/>
              <w:left w:val="nil"/>
              <w:bottom w:val="nil"/>
              <w:right w:val="nil"/>
            </w:tcBorders>
          </w:tcPr>
          <w:p w14:paraId="17C8D717"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3.86</w:t>
            </w:r>
          </w:p>
        </w:tc>
        <w:tc>
          <w:tcPr>
            <w:tcW w:w="438" w:type="pct"/>
            <w:tcBorders>
              <w:top w:val="nil"/>
              <w:left w:val="nil"/>
              <w:bottom w:val="nil"/>
              <w:right w:val="nil"/>
            </w:tcBorders>
          </w:tcPr>
          <w:p w14:paraId="0EF04DB9"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6.74*</w:t>
            </w:r>
          </w:p>
        </w:tc>
        <w:tc>
          <w:tcPr>
            <w:tcW w:w="406" w:type="pct"/>
            <w:tcBorders>
              <w:top w:val="nil"/>
              <w:left w:val="nil"/>
              <w:bottom w:val="nil"/>
              <w:right w:val="nil"/>
            </w:tcBorders>
          </w:tcPr>
          <w:p w14:paraId="33E266CF"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2.91</w:t>
            </w:r>
          </w:p>
        </w:tc>
        <w:tc>
          <w:tcPr>
            <w:tcW w:w="564" w:type="pct"/>
            <w:tcBorders>
              <w:top w:val="nil"/>
              <w:left w:val="nil"/>
              <w:bottom w:val="nil"/>
              <w:right w:val="nil"/>
            </w:tcBorders>
          </w:tcPr>
          <w:p w14:paraId="0F8EDA4F"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4.94+</w:t>
            </w:r>
          </w:p>
        </w:tc>
        <w:tc>
          <w:tcPr>
            <w:tcW w:w="564" w:type="pct"/>
            <w:tcBorders>
              <w:top w:val="nil"/>
              <w:left w:val="nil"/>
              <w:bottom w:val="nil"/>
              <w:right w:val="nil"/>
            </w:tcBorders>
          </w:tcPr>
          <w:p w14:paraId="7659CAA2"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4.64+</w:t>
            </w:r>
          </w:p>
        </w:tc>
        <w:tc>
          <w:tcPr>
            <w:tcW w:w="564" w:type="pct"/>
            <w:tcBorders>
              <w:top w:val="nil"/>
              <w:left w:val="nil"/>
              <w:bottom w:val="nil"/>
              <w:right w:val="nil"/>
            </w:tcBorders>
          </w:tcPr>
          <w:p w14:paraId="6DBFA30F"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7.52**</w:t>
            </w:r>
          </w:p>
        </w:tc>
        <w:tc>
          <w:tcPr>
            <w:tcW w:w="564" w:type="pct"/>
            <w:tcBorders>
              <w:top w:val="nil"/>
              <w:left w:val="nil"/>
              <w:bottom w:val="nil"/>
              <w:right w:val="nil"/>
            </w:tcBorders>
          </w:tcPr>
          <w:p w14:paraId="6BDF5A2D"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4.26</w:t>
            </w:r>
          </w:p>
        </w:tc>
      </w:tr>
      <w:tr w:rsidR="000F16C4" w:rsidRPr="000F16C4" w14:paraId="49D14534" w14:textId="77777777" w:rsidTr="000972AF">
        <w:trPr>
          <w:jc w:val="center"/>
        </w:trPr>
        <w:tc>
          <w:tcPr>
            <w:tcW w:w="1094" w:type="pct"/>
            <w:tcBorders>
              <w:top w:val="nil"/>
              <w:left w:val="nil"/>
              <w:bottom w:val="nil"/>
              <w:right w:val="nil"/>
            </w:tcBorders>
          </w:tcPr>
          <w:p w14:paraId="1BF8B27E" w14:textId="77777777" w:rsidR="000F16C4" w:rsidRPr="000F16C4" w:rsidRDefault="000F16C4" w:rsidP="000972AF">
            <w:pPr>
              <w:widowControl w:val="0"/>
              <w:autoSpaceDE w:val="0"/>
              <w:autoSpaceDN w:val="0"/>
              <w:adjustRightInd w:val="0"/>
              <w:spacing w:after="0" w:line="240" w:lineRule="auto"/>
              <w:rPr>
                <w:sz w:val="22"/>
                <w:szCs w:val="24"/>
              </w:rPr>
            </w:pPr>
          </w:p>
        </w:tc>
        <w:tc>
          <w:tcPr>
            <w:tcW w:w="403" w:type="pct"/>
            <w:tcBorders>
              <w:top w:val="nil"/>
              <w:left w:val="nil"/>
              <w:bottom w:val="nil"/>
              <w:right w:val="nil"/>
            </w:tcBorders>
          </w:tcPr>
          <w:p w14:paraId="2EE441A6"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(2.68)</w:t>
            </w:r>
          </w:p>
        </w:tc>
        <w:tc>
          <w:tcPr>
            <w:tcW w:w="403" w:type="pct"/>
            <w:tcBorders>
              <w:top w:val="nil"/>
              <w:left w:val="nil"/>
              <w:bottom w:val="nil"/>
              <w:right w:val="nil"/>
            </w:tcBorders>
          </w:tcPr>
          <w:p w14:paraId="05B747CA"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(2.49)</w:t>
            </w:r>
          </w:p>
        </w:tc>
        <w:tc>
          <w:tcPr>
            <w:tcW w:w="438" w:type="pct"/>
            <w:tcBorders>
              <w:top w:val="nil"/>
              <w:left w:val="nil"/>
              <w:bottom w:val="nil"/>
              <w:right w:val="nil"/>
            </w:tcBorders>
          </w:tcPr>
          <w:p w14:paraId="6349B2A0"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(2.72)</w:t>
            </w:r>
          </w:p>
        </w:tc>
        <w:tc>
          <w:tcPr>
            <w:tcW w:w="406" w:type="pct"/>
            <w:tcBorders>
              <w:top w:val="nil"/>
              <w:left w:val="nil"/>
              <w:bottom w:val="nil"/>
              <w:right w:val="nil"/>
            </w:tcBorders>
          </w:tcPr>
          <w:p w14:paraId="1D567E57"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(2.59)</w:t>
            </w:r>
          </w:p>
        </w:tc>
        <w:tc>
          <w:tcPr>
            <w:tcW w:w="564" w:type="pct"/>
            <w:tcBorders>
              <w:top w:val="nil"/>
              <w:left w:val="nil"/>
              <w:bottom w:val="nil"/>
              <w:right w:val="nil"/>
            </w:tcBorders>
          </w:tcPr>
          <w:p w14:paraId="1A399DC2"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(2.69)</w:t>
            </w:r>
          </w:p>
        </w:tc>
        <w:tc>
          <w:tcPr>
            <w:tcW w:w="564" w:type="pct"/>
            <w:tcBorders>
              <w:top w:val="nil"/>
              <w:left w:val="nil"/>
              <w:bottom w:val="nil"/>
              <w:right w:val="nil"/>
            </w:tcBorders>
          </w:tcPr>
          <w:p w14:paraId="2F65E043"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(2.53)</w:t>
            </w:r>
          </w:p>
        </w:tc>
        <w:tc>
          <w:tcPr>
            <w:tcW w:w="564" w:type="pct"/>
            <w:tcBorders>
              <w:top w:val="nil"/>
              <w:left w:val="nil"/>
              <w:bottom w:val="nil"/>
              <w:right w:val="nil"/>
            </w:tcBorders>
          </w:tcPr>
          <w:p w14:paraId="72593A6F"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(2.77)</w:t>
            </w:r>
          </w:p>
        </w:tc>
        <w:tc>
          <w:tcPr>
            <w:tcW w:w="564" w:type="pct"/>
            <w:tcBorders>
              <w:top w:val="nil"/>
              <w:left w:val="nil"/>
              <w:bottom w:val="nil"/>
              <w:right w:val="nil"/>
            </w:tcBorders>
          </w:tcPr>
          <w:p w14:paraId="6423BB31"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(2.63)</w:t>
            </w:r>
          </w:p>
        </w:tc>
      </w:tr>
      <w:tr w:rsidR="000F16C4" w:rsidRPr="000F16C4" w14:paraId="463DEA79" w14:textId="77777777" w:rsidTr="000972AF">
        <w:trPr>
          <w:jc w:val="center"/>
        </w:trPr>
        <w:tc>
          <w:tcPr>
            <w:tcW w:w="1094" w:type="pct"/>
            <w:tcBorders>
              <w:top w:val="nil"/>
              <w:left w:val="nil"/>
              <w:bottom w:val="nil"/>
              <w:right w:val="nil"/>
            </w:tcBorders>
          </w:tcPr>
          <w:p w14:paraId="7C58C623" w14:textId="77777777" w:rsidR="000F16C4" w:rsidRPr="000F16C4" w:rsidRDefault="000F16C4" w:rsidP="000972AF">
            <w:pPr>
              <w:widowControl w:val="0"/>
              <w:autoSpaceDE w:val="0"/>
              <w:autoSpaceDN w:val="0"/>
              <w:adjustRightInd w:val="0"/>
              <w:spacing w:after="0" w:line="240" w:lineRule="auto"/>
              <w:rPr>
                <w:sz w:val="22"/>
                <w:szCs w:val="24"/>
              </w:rPr>
            </w:pPr>
            <w:r w:rsidRPr="000F16C4">
              <w:rPr>
                <w:sz w:val="22"/>
                <w:szCs w:val="24"/>
              </w:rPr>
              <w:t>Big city</w:t>
            </w:r>
          </w:p>
        </w:tc>
        <w:tc>
          <w:tcPr>
            <w:tcW w:w="403" w:type="pct"/>
            <w:tcBorders>
              <w:top w:val="nil"/>
              <w:left w:val="nil"/>
              <w:bottom w:val="nil"/>
              <w:right w:val="nil"/>
            </w:tcBorders>
          </w:tcPr>
          <w:p w14:paraId="74B61C48"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5.01+</w:t>
            </w:r>
          </w:p>
        </w:tc>
        <w:tc>
          <w:tcPr>
            <w:tcW w:w="403" w:type="pct"/>
            <w:tcBorders>
              <w:top w:val="nil"/>
              <w:left w:val="nil"/>
              <w:bottom w:val="nil"/>
              <w:right w:val="nil"/>
            </w:tcBorders>
          </w:tcPr>
          <w:p w14:paraId="0967E1D5"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4.41+</w:t>
            </w:r>
          </w:p>
        </w:tc>
        <w:tc>
          <w:tcPr>
            <w:tcW w:w="438" w:type="pct"/>
            <w:tcBorders>
              <w:top w:val="nil"/>
              <w:left w:val="nil"/>
              <w:bottom w:val="nil"/>
              <w:right w:val="nil"/>
            </w:tcBorders>
          </w:tcPr>
          <w:p w14:paraId="714F5C9A"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6.15*</w:t>
            </w:r>
          </w:p>
        </w:tc>
        <w:tc>
          <w:tcPr>
            <w:tcW w:w="406" w:type="pct"/>
            <w:tcBorders>
              <w:top w:val="nil"/>
              <w:left w:val="nil"/>
              <w:bottom w:val="nil"/>
              <w:right w:val="nil"/>
            </w:tcBorders>
          </w:tcPr>
          <w:p w14:paraId="0CA070F1"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4.65+</w:t>
            </w:r>
          </w:p>
        </w:tc>
        <w:tc>
          <w:tcPr>
            <w:tcW w:w="564" w:type="pct"/>
            <w:tcBorders>
              <w:top w:val="nil"/>
              <w:left w:val="nil"/>
              <w:bottom w:val="nil"/>
              <w:right w:val="nil"/>
            </w:tcBorders>
          </w:tcPr>
          <w:p w14:paraId="02197DBC"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5.29+</w:t>
            </w:r>
          </w:p>
        </w:tc>
        <w:tc>
          <w:tcPr>
            <w:tcW w:w="564" w:type="pct"/>
            <w:tcBorders>
              <w:top w:val="nil"/>
              <w:left w:val="nil"/>
              <w:bottom w:val="nil"/>
              <w:right w:val="nil"/>
            </w:tcBorders>
          </w:tcPr>
          <w:p w14:paraId="26F940E8"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5.45*</w:t>
            </w:r>
          </w:p>
        </w:tc>
        <w:tc>
          <w:tcPr>
            <w:tcW w:w="564" w:type="pct"/>
            <w:tcBorders>
              <w:top w:val="nil"/>
              <w:left w:val="nil"/>
              <w:bottom w:val="nil"/>
              <w:right w:val="nil"/>
            </w:tcBorders>
          </w:tcPr>
          <w:p w14:paraId="433BD32F"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7.05*</w:t>
            </w:r>
          </w:p>
        </w:tc>
        <w:tc>
          <w:tcPr>
            <w:tcW w:w="564" w:type="pct"/>
            <w:tcBorders>
              <w:top w:val="nil"/>
              <w:left w:val="nil"/>
              <w:bottom w:val="nil"/>
              <w:right w:val="nil"/>
            </w:tcBorders>
          </w:tcPr>
          <w:p w14:paraId="692186D1"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6.35*</w:t>
            </w:r>
          </w:p>
        </w:tc>
      </w:tr>
      <w:tr w:rsidR="000F16C4" w:rsidRPr="000F16C4" w14:paraId="42736CE0" w14:textId="77777777" w:rsidTr="000972AF">
        <w:trPr>
          <w:jc w:val="center"/>
        </w:trPr>
        <w:tc>
          <w:tcPr>
            <w:tcW w:w="1094" w:type="pct"/>
            <w:tcBorders>
              <w:top w:val="nil"/>
              <w:left w:val="nil"/>
              <w:bottom w:val="nil"/>
              <w:right w:val="nil"/>
            </w:tcBorders>
          </w:tcPr>
          <w:p w14:paraId="50590909" w14:textId="77777777" w:rsidR="000F16C4" w:rsidRPr="000F16C4" w:rsidRDefault="000F16C4" w:rsidP="000972AF">
            <w:pPr>
              <w:widowControl w:val="0"/>
              <w:autoSpaceDE w:val="0"/>
              <w:autoSpaceDN w:val="0"/>
              <w:adjustRightInd w:val="0"/>
              <w:spacing w:after="0" w:line="240" w:lineRule="auto"/>
              <w:rPr>
                <w:sz w:val="22"/>
                <w:szCs w:val="24"/>
              </w:rPr>
            </w:pPr>
          </w:p>
        </w:tc>
        <w:tc>
          <w:tcPr>
            <w:tcW w:w="403" w:type="pct"/>
            <w:tcBorders>
              <w:top w:val="nil"/>
              <w:left w:val="nil"/>
              <w:bottom w:val="nil"/>
              <w:right w:val="nil"/>
            </w:tcBorders>
          </w:tcPr>
          <w:p w14:paraId="02BC7963"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(2.78)</w:t>
            </w:r>
          </w:p>
        </w:tc>
        <w:tc>
          <w:tcPr>
            <w:tcW w:w="403" w:type="pct"/>
            <w:tcBorders>
              <w:top w:val="nil"/>
              <w:left w:val="nil"/>
              <w:bottom w:val="nil"/>
              <w:right w:val="nil"/>
            </w:tcBorders>
          </w:tcPr>
          <w:p w14:paraId="138979A6"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(2.57)</w:t>
            </w:r>
          </w:p>
        </w:tc>
        <w:tc>
          <w:tcPr>
            <w:tcW w:w="438" w:type="pct"/>
            <w:tcBorders>
              <w:top w:val="nil"/>
              <w:left w:val="nil"/>
              <w:bottom w:val="nil"/>
              <w:right w:val="nil"/>
            </w:tcBorders>
          </w:tcPr>
          <w:p w14:paraId="1C0C8F01"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(2.78)</w:t>
            </w:r>
          </w:p>
        </w:tc>
        <w:tc>
          <w:tcPr>
            <w:tcW w:w="406" w:type="pct"/>
            <w:tcBorders>
              <w:top w:val="nil"/>
              <w:left w:val="nil"/>
              <w:bottom w:val="nil"/>
              <w:right w:val="nil"/>
            </w:tcBorders>
          </w:tcPr>
          <w:p w14:paraId="28D6DE99"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(2.61)</w:t>
            </w:r>
          </w:p>
        </w:tc>
        <w:tc>
          <w:tcPr>
            <w:tcW w:w="564" w:type="pct"/>
            <w:tcBorders>
              <w:top w:val="nil"/>
              <w:left w:val="nil"/>
              <w:bottom w:val="nil"/>
              <w:right w:val="nil"/>
            </w:tcBorders>
          </w:tcPr>
          <w:p w14:paraId="56266720"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(2.85)</w:t>
            </w:r>
          </w:p>
        </w:tc>
        <w:tc>
          <w:tcPr>
            <w:tcW w:w="564" w:type="pct"/>
            <w:tcBorders>
              <w:top w:val="nil"/>
              <w:left w:val="nil"/>
              <w:bottom w:val="nil"/>
              <w:right w:val="nil"/>
            </w:tcBorders>
          </w:tcPr>
          <w:p w14:paraId="1A4F24C6"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(2.69)</w:t>
            </w:r>
          </w:p>
        </w:tc>
        <w:tc>
          <w:tcPr>
            <w:tcW w:w="564" w:type="pct"/>
            <w:tcBorders>
              <w:top w:val="nil"/>
              <w:left w:val="nil"/>
              <w:bottom w:val="nil"/>
              <w:right w:val="nil"/>
            </w:tcBorders>
          </w:tcPr>
          <w:p w14:paraId="694273DA"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(2.93)</w:t>
            </w:r>
          </w:p>
        </w:tc>
        <w:tc>
          <w:tcPr>
            <w:tcW w:w="564" w:type="pct"/>
            <w:tcBorders>
              <w:top w:val="nil"/>
              <w:left w:val="nil"/>
              <w:bottom w:val="nil"/>
              <w:right w:val="nil"/>
            </w:tcBorders>
          </w:tcPr>
          <w:p w14:paraId="35636DAE"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(2.74)</w:t>
            </w:r>
          </w:p>
        </w:tc>
      </w:tr>
      <w:tr w:rsidR="000F16C4" w:rsidRPr="000F16C4" w14:paraId="3596CB1B" w14:textId="77777777" w:rsidTr="000972AF">
        <w:trPr>
          <w:jc w:val="center"/>
        </w:trPr>
        <w:tc>
          <w:tcPr>
            <w:tcW w:w="1094" w:type="pct"/>
            <w:tcBorders>
              <w:top w:val="nil"/>
              <w:left w:val="nil"/>
              <w:bottom w:val="nil"/>
              <w:right w:val="nil"/>
            </w:tcBorders>
          </w:tcPr>
          <w:p w14:paraId="61249DD9" w14:textId="77777777" w:rsidR="000F16C4" w:rsidRPr="000F16C4" w:rsidRDefault="000F16C4" w:rsidP="000972AF">
            <w:pPr>
              <w:widowControl w:val="0"/>
              <w:autoSpaceDE w:val="0"/>
              <w:autoSpaceDN w:val="0"/>
              <w:adjustRightInd w:val="0"/>
              <w:spacing w:after="0" w:line="240" w:lineRule="auto"/>
              <w:rPr>
                <w:sz w:val="22"/>
                <w:szCs w:val="24"/>
              </w:rPr>
            </w:pPr>
            <w:r w:rsidRPr="000F16C4">
              <w:rPr>
                <w:sz w:val="22"/>
                <w:szCs w:val="24"/>
              </w:rPr>
              <w:t>Reg.partners*Small city</w:t>
            </w:r>
          </w:p>
        </w:tc>
        <w:tc>
          <w:tcPr>
            <w:tcW w:w="403" w:type="pct"/>
            <w:tcBorders>
              <w:top w:val="nil"/>
              <w:left w:val="nil"/>
              <w:bottom w:val="nil"/>
              <w:right w:val="nil"/>
            </w:tcBorders>
          </w:tcPr>
          <w:p w14:paraId="54C86AD1"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403" w:type="pct"/>
            <w:tcBorders>
              <w:top w:val="nil"/>
              <w:left w:val="nil"/>
              <w:bottom w:val="nil"/>
              <w:right w:val="nil"/>
            </w:tcBorders>
          </w:tcPr>
          <w:p w14:paraId="27B6BDBA"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438" w:type="pct"/>
            <w:tcBorders>
              <w:top w:val="nil"/>
              <w:left w:val="nil"/>
              <w:bottom w:val="nil"/>
              <w:right w:val="nil"/>
            </w:tcBorders>
          </w:tcPr>
          <w:p w14:paraId="28994E55"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406" w:type="pct"/>
            <w:tcBorders>
              <w:top w:val="nil"/>
              <w:left w:val="nil"/>
              <w:bottom w:val="nil"/>
              <w:right w:val="nil"/>
            </w:tcBorders>
          </w:tcPr>
          <w:p w14:paraId="1C5ECA7A"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-2.00</w:t>
            </w:r>
          </w:p>
        </w:tc>
        <w:tc>
          <w:tcPr>
            <w:tcW w:w="564" w:type="pct"/>
            <w:tcBorders>
              <w:top w:val="nil"/>
              <w:left w:val="nil"/>
              <w:bottom w:val="nil"/>
              <w:right w:val="nil"/>
            </w:tcBorders>
          </w:tcPr>
          <w:p w14:paraId="7B8A7B9D"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564" w:type="pct"/>
            <w:tcBorders>
              <w:top w:val="nil"/>
              <w:left w:val="nil"/>
              <w:bottom w:val="nil"/>
              <w:right w:val="nil"/>
            </w:tcBorders>
          </w:tcPr>
          <w:p w14:paraId="0AB53950"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564" w:type="pct"/>
            <w:tcBorders>
              <w:top w:val="nil"/>
              <w:left w:val="nil"/>
              <w:bottom w:val="nil"/>
              <w:right w:val="nil"/>
            </w:tcBorders>
          </w:tcPr>
          <w:p w14:paraId="65646E87"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564" w:type="pct"/>
            <w:tcBorders>
              <w:top w:val="nil"/>
              <w:left w:val="nil"/>
              <w:bottom w:val="nil"/>
              <w:right w:val="nil"/>
            </w:tcBorders>
          </w:tcPr>
          <w:p w14:paraId="58F12149"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-3.53*</w:t>
            </w:r>
          </w:p>
        </w:tc>
      </w:tr>
      <w:tr w:rsidR="000F16C4" w:rsidRPr="000F16C4" w14:paraId="1D3AF89E" w14:textId="77777777" w:rsidTr="000972AF">
        <w:trPr>
          <w:jc w:val="center"/>
        </w:trPr>
        <w:tc>
          <w:tcPr>
            <w:tcW w:w="1094" w:type="pct"/>
            <w:tcBorders>
              <w:top w:val="nil"/>
              <w:left w:val="nil"/>
              <w:bottom w:val="nil"/>
              <w:right w:val="nil"/>
            </w:tcBorders>
          </w:tcPr>
          <w:p w14:paraId="74FA9FA0" w14:textId="77777777" w:rsidR="000F16C4" w:rsidRPr="000F16C4" w:rsidRDefault="000F16C4" w:rsidP="000972AF">
            <w:pPr>
              <w:widowControl w:val="0"/>
              <w:autoSpaceDE w:val="0"/>
              <w:autoSpaceDN w:val="0"/>
              <w:adjustRightInd w:val="0"/>
              <w:spacing w:after="0" w:line="240" w:lineRule="auto"/>
              <w:rPr>
                <w:sz w:val="22"/>
                <w:szCs w:val="24"/>
              </w:rPr>
            </w:pPr>
          </w:p>
        </w:tc>
        <w:tc>
          <w:tcPr>
            <w:tcW w:w="403" w:type="pct"/>
            <w:tcBorders>
              <w:top w:val="nil"/>
              <w:left w:val="nil"/>
              <w:bottom w:val="nil"/>
              <w:right w:val="nil"/>
            </w:tcBorders>
          </w:tcPr>
          <w:p w14:paraId="4DCAAEA4"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403" w:type="pct"/>
            <w:tcBorders>
              <w:top w:val="nil"/>
              <w:left w:val="nil"/>
              <w:bottom w:val="nil"/>
              <w:right w:val="nil"/>
            </w:tcBorders>
          </w:tcPr>
          <w:p w14:paraId="739AAA9C"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438" w:type="pct"/>
            <w:tcBorders>
              <w:top w:val="nil"/>
              <w:left w:val="nil"/>
              <w:bottom w:val="nil"/>
              <w:right w:val="nil"/>
            </w:tcBorders>
          </w:tcPr>
          <w:p w14:paraId="0F900522"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406" w:type="pct"/>
            <w:tcBorders>
              <w:top w:val="nil"/>
              <w:left w:val="nil"/>
              <w:bottom w:val="nil"/>
              <w:right w:val="nil"/>
            </w:tcBorders>
          </w:tcPr>
          <w:p w14:paraId="2321908B"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(1.79)</w:t>
            </w:r>
          </w:p>
        </w:tc>
        <w:tc>
          <w:tcPr>
            <w:tcW w:w="564" w:type="pct"/>
            <w:tcBorders>
              <w:top w:val="nil"/>
              <w:left w:val="nil"/>
              <w:bottom w:val="nil"/>
              <w:right w:val="nil"/>
            </w:tcBorders>
          </w:tcPr>
          <w:p w14:paraId="59B2D7E5"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564" w:type="pct"/>
            <w:tcBorders>
              <w:top w:val="nil"/>
              <w:left w:val="nil"/>
              <w:bottom w:val="nil"/>
              <w:right w:val="nil"/>
            </w:tcBorders>
          </w:tcPr>
          <w:p w14:paraId="3D115D42"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564" w:type="pct"/>
            <w:tcBorders>
              <w:top w:val="nil"/>
              <w:left w:val="nil"/>
              <w:bottom w:val="nil"/>
              <w:right w:val="nil"/>
            </w:tcBorders>
          </w:tcPr>
          <w:p w14:paraId="5E338A7C"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564" w:type="pct"/>
            <w:tcBorders>
              <w:top w:val="nil"/>
              <w:left w:val="nil"/>
              <w:bottom w:val="nil"/>
              <w:right w:val="nil"/>
            </w:tcBorders>
          </w:tcPr>
          <w:p w14:paraId="7A54AB42"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(1.70)</w:t>
            </w:r>
          </w:p>
        </w:tc>
      </w:tr>
      <w:tr w:rsidR="000F16C4" w:rsidRPr="000F16C4" w14:paraId="69BB2FA2" w14:textId="77777777" w:rsidTr="000972AF">
        <w:trPr>
          <w:jc w:val="center"/>
        </w:trPr>
        <w:tc>
          <w:tcPr>
            <w:tcW w:w="1094" w:type="pct"/>
            <w:tcBorders>
              <w:top w:val="nil"/>
              <w:left w:val="nil"/>
              <w:bottom w:val="nil"/>
              <w:right w:val="nil"/>
            </w:tcBorders>
          </w:tcPr>
          <w:p w14:paraId="7A607FC4" w14:textId="77777777" w:rsidR="000F16C4" w:rsidRPr="000F16C4" w:rsidRDefault="000F16C4" w:rsidP="000972AF">
            <w:pPr>
              <w:widowControl w:val="0"/>
              <w:autoSpaceDE w:val="0"/>
              <w:autoSpaceDN w:val="0"/>
              <w:adjustRightInd w:val="0"/>
              <w:spacing w:after="0" w:line="240" w:lineRule="auto"/>
              <w:rPr>
                <w:sz w:val="22"/>
                <w:szCs w:val="24"/>
              </w:rPr>
            </w:pPr>
            <w:r w:rsidRPr="000F16C4">
              <w:rPr>
                <w:sz w:val="22"/>
                <w:szCs w:val="24"/>
              </w:rPr>
              <w:t>Reg.partners*Medium city</w:t>
            </w:r>
          </w:p>
        </w:tc>
        <w:tc>
          <w:tcPr>
            <w:tcW w:w="403" w:type="pct"/>
            <w:tcBorders>
              <w:top w:val="nil"/>
              <w:left w:val="nil"/>
              <w:bottom w:val="nil"/>
              <w:right w:val="nil"/>
            </w:tcBorders>
          </w:tcPr>
          <w:p w14:paraId="63126F26"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403" w:type="pct"/>
            <w:tcBorders>
              <w:top w:val="nil"/>
              <w:left w:val="nil"/>
              <w:bottom w:val="nil"/>
              <w:right w:val="nil"/>
            </w:tcBorders>
          </w:tcPr>
          <w:p w14:paraId="553EE2D7"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438" w:type="pct"/>
            <w:tcBorders>
              <w:top w:val="nil"/>
              <w:left w:val="nil"/>
              <w:bottom w:val="nil"/>
              <w:right w:val="nil"/>
            </w:tcBorders>
          </w:tcPr>
          <w:p w14:paraId="68912A5E"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406" w:type="pct"/>
            <w:tcBorders>
              <w:top w:val="nil"/>
              <w:left w:val="nil"/>
              <w:bottom w:val="nil"/>
              <w:right w:val="nil"/>
            </w:tcBorders>
          </w:tcPr>
          <w:p w14:paraId="2413574E"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2.47</w:t>
            </w:r>
          </w:p>
        </w:tc>
        <w:tc>
          <w:tcPr>
            <w:tcW w:w="564" w:type="pct"/>
            <w:tcBorders>
              <w:top w:val="nil"/>
              <w:left w:val="nil"/>
              <w:bottom w:val="nil"/>
              <w:right w:val="nil"/>
            </w:tcBorders>
          </w:tcPr>
          <w:p w14:paraId="1509082E"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564" w:type="pct"/>
            <w:tcBorders>
              <w:top w:val="nil"/>
              <w:left w:val="nil"/>
              <w:bottom w:val="nil"/>
              <w:right w:val="nil"/>
            </w:tcBorders>
          </w:tcPr>
          <w:p w14:paraId="168B9312"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564" w:type="pct"/>
            <w:tcBorders>
              <w:top w:val="nil"/>
              <w:left w:val="nil"/>
              <w:bottom w:val="nil"/>
              <w:right w:val="nil"/>
            </w:tcBorders>
          </w:tcPr>
          <w:p w14:paraId="0395E286"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564" w:type="pct"/>
            <w:tcBorders>
              <w:top w:val="nil"/>
              <w:left w:val="nil"/>
              <w:bottom w:val="nil"/>
              <w:right w:val="nil"/>
            </w:tcBorders>
          </w:tcPr>
          <w:p w14:paraId="281FDF03"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0.62</w:t>
            </w:r>
          </w:p>
        </w:tc>
      </w:tr>
      <w:tr w:rsidR="000F16C4" w:rsidRPr="000F16C4" w14:paraId="25D3FB2D" w14:textId="77777777" w:rsidTr="000972AF">
        <w:trPr>
          <w:jc w:val="center"/>
        </w:trPr>
        <w:tc>
          <w:tcPr>
            <w:tcW w:w="1094" w:type="pct"/>
            <w:tcBorders>
              <w:top w:val="nil"/>
              <w:left w:val="nil"/>
              <w:bottom w:val="nil"/>
              <w:right w:val="nil"/>
            </w:tcBorders>
          </w:tcPr>
          <w:p w14:paraId="4D1F46DF" w14:textId="77777777" w:rsidR="000F16C4" w:rsidRPr="000F16C4" w:rsidRDefault="000F16C4" w:rsidP="000972AF">
            <w:pPr>
              <w:widowControl w:val="0"/>
              <w:autoSpaceDE w:val="0"/>
              <w:autoSpaceDN w:val="0"/>
              <w:adjustRightInd w:val="0"/>
              <w:spacing w:after="0" w:line="240" w:lineRule="auto"/>
              <w:rPr>
                <w:sz w:val="22"/>
                <w:szCs w:val="24"/>
              </w:rPr>
            </w:pPr>
          </w:p>
        </w:tc>
        <w:tc>
          <w:tcPr>
            <w:tcW w:w="403" w:type="pct"/>
            <w:tcBorders>
              <w:top w:val="nil"/>
              <w:left w:val="nil"/>
              <w:bottom w:val="nil"/>
              <w:right w:val="nil"/>
            </w:tcBorders>
          </w:tcPr>
          <w:p w14:paraId="43EEBDDE"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403" w:type="pct"/>
            <w:tcBorders>
              <w:top w:val="nil"/>
              <w:left w:val="nil"/>
              <w:bottom w:val="nil"/>
              <w:right w:val="nil"/>
            </w:tcBorders>
          </w:tcPr>
          <w:p w14:paraId="38F6B3DB"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438" w:type="pct"/>
            <w:tcBorders>
              <w:top w:val="nil"/>
              <w:left w:val="nil"/>
              <w:bottom w:val="nil"/>
              <w:right w:val="nil"/>
            </w:tcBorders>
          </w:tcPr>
          <w:p w14:paraId="6B5EB9F7"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406" w:type="pct"/>
            <w:tcBorders>
              <w:top w:val="nil"/>
              <w:left w:val="nil"/>
              <w:bottom w:val="nil"/>
              <w:right w:val="nil"/>
            </w:tcBorders>
          </w:tcPr>
          <w:p w14:paraId="2C1117AB"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(1.85)</w:t>
            </w:r>
          </w:p>
        </w:tc>
        <w:tc>
          <w:tcPr>
            <w:tcW w:w="564" w:type="pct"/>
            <w:tcBorders>
              <w:top w:val="nil"/>
              <w:left w:val="nil"/>
              <w:bottom w:val="nil"/>
              <w:right w:val="nil"/>
            </w:tcBorders>
          </w:tcPr>
          <w:p w14:paraId="26C5B3FE"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564" w:type="pct"/>
            <w:tcBorders>
              <w:top w:val="nil"/>
              <w:left w:val="nil"/>
              <w:bottom w:val="nil"/>
              <w:right w:val="nil"/>
            </w:tcBorders>
          </w:tcPr>
          <w:p w14:paraId="0996EBF2"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564" w:type="pct"/>
            <w:tcBorders>
              <w:top w:val="nil"/>
              <w:left w:val="nil"/>
              <w:bottom w:val="nil"/>
              <w:right w:val="nil"/>
            </w:tcBorders>
          </w:tcPr>
          <w:p w14:paraId="7DE66021"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564" w:type="pct"/>
            <w:tcBorders>
              <w:top w:val="nil"/>
              <w:left w:val="nil"/>
              <w:bottom w:val="nil"/>
              <w:right w:val="nil"/>
            </w:tcBorders>
          </w:tcPr>
          <w:p w14:paraId="0A02BB31"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(1.95)</w:t>
            </w:r>
          </w:p>
        </w:tc>
      </w:tr>
      <w:tr w:rsidR="000F16C4" w:rsidRPr="000F16C4" w14:paraId="7F632FD3" w14:textId="77777777" w:rsidTr="000972AF">
        <w:trPr>
          <w:jc w:val="center"/>
        </w:trPr>
        <w:tc>
          <w:tcPr>
            <w:tcW w:w="1094" w:type="pct"/>
            <w:tcBorders>
              <w:top w:val="nil"/>
              <w:left w:val="nil"/>
              <w:bottom w:val="nil"/>
              <w:right w:val="nil"/>
            </w:tcBorders>
          </w:tcPr>
          <w:p w14:paraId="5057C5EA" w14:textId="77777777" w:rsidR="000F16C4" w:rsidRPr="000F16C4" w:rsidRDefault="000F16C4" w:rsidP="000972AF">
            <w:pPr>
              <w:widowControl w:val="0"/>
              <w:autoSpaceDE w:val="0"/>
              <w:autoSpaceDN w:val="0"/>
              <w:adjustRightInd w:val="0"/>
              <w:spacing w:after="0" w:line="240" w:lineRule="auto"/>
              <w:rPr>
                <w:sz w:val="22"/>
                <w:szCs w:val="24"/>
              </w:rPr>
            </w:pPr>
            <w:r w:rsidRPr="000F16C4">
              <w:rPr>
                <w:sz w:val="22"/>
                <w:szCs w:val="24"/>
              </w:rPr>
              <w:t>Reg.partners*Big city</w:t>
            </w:r>
          </w:p>
        </w:tc>
        <w:tc>
          <w:tcPr>
            <w:tcW w:w="403" w:type="pct"/>
            <w:tcBorders>
              <w:top w:val="nil"/>
              <w:left w:val="nil"/>
              <w:bottom w:val="nil"/>
              <w:right w:val="nil"/>
            </w:tcBorders>
          </w:tcPr>
          <w:p w14:paraId="5250704F"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403" w:type="pct"/>
            <w:tcBorders>
              <w:top w:val="nil"/>
              <w:left w:val="nil"/>
              <w:bottom w:val="nil"/>
              <w:right w:val="nil"/>
            </w:tcBorders>
          </w:tcPr>
          <w:p w14:paraId="72F1596B"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438" w:type="pct"/>
            <w:tcBorders>
              <w:top w:val="nil"/>
              <w:left w:val="nil"/>
              <w:bottom w:val="nil"/>
              <w:right w:val="nil"/>
            </w:tcBorders>
          </w:tcPr>
          <w:p w14:paraId="30004C18"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406" w:type="pct"/>
            <w:tcBorders>
              <w:top w:val="nil"/>
              <w:left w:val="nil"/>
              <w:bottom w:val="nil"/>
              <w:right w:val="nil"/>
            </w:tcBorders>
          </w:tcPr>
          <w:p w14:paraId="1673EFB1"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-1.22</w:t>
            </w:r>
          </w:p>
        </w:tc>
        <w:tc>
          <w:tcPr>
            <w:tcW w:w="564" w:type="pct"/>
            <w:tcBorders>
              <w:top w:val="nil"/>
              <w:left w:val="nil"/>
              <w:bottom w:val="nil"/>
              <w:right w:val="nil"/>
            </w:tcBorders>
          </w:tcPr>
          <w:p w14:paraId="78BF0AE6"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564" w:type="pct"/>
            <w:tcBorders>
              <w:top w:val="nil"/>
              <w:left w:val="nil"/>
              <w:bottom w:val="nil"/>
              <w:right w:val="nil"/>
            </w:tcBorders>
          </w:tcPr>
          <w:p w14:paraId="54122332"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564" w:type="pct"/>
            <w:tcBorders>
              <w:top w:val="nil"/>
              <w:left w:val="nil"/>
              <w:bottom w:val="nil"/>
              <w:right w:val="nil"/>
            </w:tcBorders>
          </w:tcPr>
          <w:p w14:paraId="56DD28ED"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564" w:type="pct"/>
            <w:tcBorders>
              <w:top w:val="nil"/>
              <w:left w:val="nil"/>
              <w:bottom w:val="nil"/>
              <w:right w:val="nil"/>
            </w:tcBorders>
          </w:tcPr>
          <w:p w14:paraId="7D77FE49"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-3.05+</w:t>
            </w:r>
          </w:p>
        </w:tc>
      </w:tr>
      <w:tr w:rsidR="000F16C4" w:rsidRPr="000F16C4" w14:paraId="2BE30D6D" w14:textId="77777777" w:rsidTr="000972AF">
        <w:trPr>
          <w:jc w:val="center"/>
        </w:trPr>
        <w:tc>
          <w:tcPr>
            <w:tcW w:w="1094" w:type="pct"/>
            <w:tcBorders>
              <w:top w:val="nil"/>
              <w:left w:val="nil"/>
              <w:bottom w:val="nil"/>
              <w:right w:val="nil"/>
            </w:tcBorders>
          </w:tcPr>
          <w:p w14:paraId="1B2EB4DB" w14:textId="77777777" w:rsidR="000F16C4" w:rsidRPr="000F16C4" w:rsidRDefault="000F16C4" w:rsidP="000972AF">
            <w:pPr>
              <w:widowControl w:val="0"/>
              <w:autoSpaceDE w:val="0"/>
              <w:autoSpaceDN w:val="0"/>
              <w:adjustRightInd w:val="0"/>
              <w:spacing w:after="0" w:line="240" w:lineRule="auto"/>
              <w:rPr>
                <w:sz w:val="22"/>
                <w:szCs w:val="24"/>
              </w:rPr>
            </w:pPr>
          </w:p>
        </w:tc>
        <w:tc>
          <w:tcPr>
            <w:tcW w:w="403" w:type="pct"/>
            <w:tcBorders>
              <w:top w:val="nil"/>
              <w:left w:val="nil"/>
              <w:bottom w:val="nil"/>
              <w:right w:val="nil"/>
            </w:tcBorders>
          </w:tcPr>
          <w:p w14:paraId="69DCEB21"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403" w:type="pct"/>
            <w:tcBorders>
              <w:top w:val="nil"/>
              <w:left w:val="nil"/>
              <w:bottom w:val="nil"/>
              <w:right w:val="nil"/>
            </w:tcBorders>
          </w:tcPr>
          <w:p w14:paraId="5B354C52"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438" w:type="pct"/>
            <w:tcBorders>
              <w:top w:val="nil"/>
              <w:left w:val="nil"/>
              <w:bottom w:val="nil"/>
              <w:right w:val="nil"/>
            </w:tcBorders>
          </w:tcPr>
          <w:p w14:paraId="26BDBEE1"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406" w:type="pct"/>
            <w:tcBorders>
              <w:top w:val="nil"/>
              <w:left w:val="nil"/>
              <w:bottom w:val="nil"/>
              <w:right w:val="nil"/>
            </w:tcBorders>
          </w:tcPr>
          <w:p w14:paraId="58509674"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(1.59)</w:t>
            </w:r>
          </w:p>
        </w:tc>
        <w:tc>
          <w:tcPr>
            <w:tcW w:w="564" w:type="pct"/>
            <w:tcBorders>
              <w:top w:val="nil"/>
              <w:left w:val="nil"/>
              <w:bottom w:val="nil"/>
              <w:right w:val="nil"/>
            </w:tcBorders>
          </w:tcPr>
          <w:p w14:paraId="26A8BC61"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564" w:type="pct"/>
            <w:tcBorders>
              <w:top w:val="nil"/>
              <w:left w:val="nil"/>
              <w:bottom w:val="nil"/>
              <w:right w:val="nil"/>
            </w:tcBorders>
          </w:tcPr>
          <w:p w14:paraId="324F9FB8"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564" w:type="pct"/>
            <w:tcBorders>
              <w:top w:val="nil"/>
              <w:left w:val="nil"/>
              <w:bottom w:val="nil"/>
              <w:right w:val="nil"/>
            </w:tcBorders>
          </w:tcPr>
          <w:p w14:paraId="33AF1E73"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564" w:type="pct"/>
            <w:tcBorders>
              <w:top w:val="nil"/>
              <w:left w:val="nil"/>
              <w:bottom w:val="nil"/>
              <w:right w:val="nil"/>
            </w:tcBorders>
          </w:tcPr>
          <w:p w14:paraId="602FFBFD"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(1.66)</w:t>
            </w:r>
          </w:p>
        </w:tc>
      </w:tr>
      <w:tr w:rsidR="000F16C4" w:rsidRPr="000F16C4" w14:paraId="2E8FC1A5" w14:textId="77777777" w:rsidTr="000972AF">
        <w:trPr>
          <w:jc w:val="center"/>
        </w:trPr>
        <w:tc>
          <w:tcPr>
            <w:tcW w:w="1094" w:type="pct"/>
            <w:tcBorders>
              <w:top w:val="nil"/>
              <w:left w:val="nil"/>
              <w:bottom w:val="nil"/>
              <w:right w:val="nil"/>
            </w:tcBorders>
          </w:tcPr>
          <w:p w14:paraId="4086D362" w14:textId="77777777" w:rsidR="000F16C4" w:rsidRPr="000F16C4" w:rsidRDefault="000F16C4" w:rsidP="000972AF">
            <w:pPr>
              <w:widowControl w:val="0"/>
              <w:autoSpaceDE w:val="0"/>
              <w:autoSpaceDN w:val="0"/>
              <w:adjustRightInd w:val="0"/>
              <w:spacing w:after="0" w:line="240" w:lineRule="auto"/>
              <w:rPr>
                <w:sz w:val="22"/>
                <w:szCs w:val="24"/>
              </w:rPr>
            </w:pPr>
            <w:r w:rsidRPr="000F16C4">
              <w:rPr>
                <w:sz w:val="22"/>
                <w:szCs w:val="24"/>
              </w:rPr>
              <w:t>Log R&amp;D expenditure</w:t>
            </w:r>
          </w:p>
        </w:tc>
        <w:tc>
          <w:tcPr>
            <w:tcW w:w="403" w:type="pct"/>
            <w:tcBorders>
              <w:top w:val="nil"/>
              <w:left w:val="nil"/>
              <w:bottom w:val="nil"/>
              <w:right w:val="nil"/>
            </w:tcBorders>
          </w:tcPr>
          <w:p w14:paraId="0F6826B4"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6.29***</w:t>
            </w:r>
          </w:p>
        </w:tc>
        <w:tc>
          <w:tcPr>
            <w:tcW w:w="403" w:type="pct"/>
            <w:tcBorders>
              <w:top w:val="nil"/>
              <w:left w:val="nil"/>
              <w:bottom w:val="nil"/>
              <w:right w:val="nil"/>
            </w:tcBorders>
          </w:tcPr>
          <w:p w14:paraId="29A18189"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5.09***</w:t>
            </w:r>
          </w:p>
        </w:tc>
        <w:tc>
          <w:tcPr>
            <w:tcW w:w="438" w:type="pct"/>
            <w:tcBorders>
              <w:top w:val="nil"/>
              <w:left w:val="nil"/>
              <w:bottom w:val="nil"/>
              <w:right w:val="nil"/>
            </w:tcBorders>
          </w:tcPr>
          <w:p w14:paraId="33F33CD0"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4.22***</w:t>
            </w:r>
          </w:p>
        </w:tc>
        <w:tc>
          <w:tcPr>
            <w:tcW w:w="406" w:type="pct"/>
            <w:tcBorders>
              <w:top w:val="nil"/>
              <w:left w:val="nil"/>
              <w:bottom w:val="nil"/>
              <w:right w:val="nil"/>
            </w:tcBorders>
          </w:tcPr>
          <w:p w14:paraId="1570BB73"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5.08***</w:t>
            </w:r>
          </w:p>
        </w:tc>
        <w:tc>
          <w:tcPr>
            <w:tcW w:w="564" w:type="pct"/>
            <w:tcBorders>
              <w:top w:val="nil"/>
              <w:left w:val="nil"/>
              <w:bottom w:val="nil"/>
              <w:right w:val="nil"/>
            </w:tcBorders>
          </w:tcPr>
          <w:p w14:paraId="20D3F3FC"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5.61***</w:t>
            </w:r>
          </w:p>
        </w:tc>
        <w:tc>
          <w:tcPr>
            <w:tcW w:w="564" w:type="pct"/>
            <w:tcBorders>
              <w:top w:val="nil"/>
              <w:left w:val="nil"/>
              <w:bottom w:val="nil"/>
              <w:right w:val="nil"/>
            </w:tcBorders>
          </w:tcPr>
          <w:p w14:paraId="7E43CFC7"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5.00***</w:t>
            </w:r>
          </w:p>
        </w:tc>
        <w:tc>
          <w:tcPr>
            <w:tcW w:w="564" w:type="pct"/>
            <w:tcBorders>
              <w:top w:val="nil"/>
              <w:left w:val="nil"/>
              <w:bottom w:val="nil"/>
              <w:right w:val="nil"/>
            </w:tcBorders>
          </w:tcPr>
          <w:p w14:paraId="0A86FF34"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4.16***</w:t>
            </w:r>
          </w:p>
        </w:tc>
        <w:tc>
          <w:tcPr>
            <w:tcW w:w="564" w:type="pct"/>
            <w:tcBorders>
              <w:top w:val="nil"/>
              <w:left w:val="nil"/>
              <w:bottom w:val="nil"/>
              <w:right w:val="nil"/>
            </w:tcBorders>
          </w:tcPr>
          <w:p w14:paraId="77F935BE"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4.98***</w:t>
            </w:r>
          </w:p>
        </w:tc>
      </w:tr>
      <w:tr w:rsidR="000F16C4" w:rsidRPr="000F16C4" w14:paraId="5C5EBF2F" w14:textId="77777777" w:rsidTr="000972AF">
        <w:trPr>
          <w:jc w:val="center"/>
        </w:trPr>
        <w:tc>
          <w:tcPr>
            <w:tcW w:w="1094" w:type="pct"/>
            <w:tcBorders>
              <w:top w:val="nil"/>
              <w:left w:val="nil"/>
              <w:bottom w:val="nil"/>
              <w:right w:val="nil"/>
            </w:tcBorders>
          </w:tcPr>
          <w:p w14:paraId="5C04A816" w14:textId="77777777" w:rsidR="000F16C4" w:rsidRPr="000F16C4" w:rsidRDefault="000F16C4" w:rsidP="000972AF">
            <w:pPr>
              <w:widowControl w:val="0"/>
              <w:autoSpaceDE w:val="0"/>
              <w:autoSpaceDN w:val="0"/>
              <w:adjustRightInd w:val="0"/>
              <w:spacing w:after="0" w:line="240" w:lineRule="auto"/>
              <w:rPr>
                <w:sz w:val="22"/>
                <w:szCs w:val="24"/>
              </w:rPr>
            </w:pPr>
          </w:p>
        </w:tc>
        <w:tc>
          <w:tcPr>
            <w:tcW w:w="403" w:type="pct"/>
            <w:tcBorders>
              <w:top w:val="nil"/>
              <w:left w:val="nil"/>
              <w:bottom w:val="nil"/>
              <w:right w:val="nil"/>
            </w:tcBorders>
          </w:tcPr>
          <w:p w14:paraId="39B14955"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(0.29)</w:t>
            </w:r>
          </w:p>
        </w:tc>
        <w:tc>
          <w:tcPr>
            <w:tcW w:w="403" w:type="pct"/>
            <w:tcBorders>
              <w:top w:val="nil"/>
              <w:left w:val="nil"/>
              <w:bottom w:val="nil"/>
              <w:right w:val="nil"/>
            </w:tcBorders>
          </w:tcPr>
          <w:p w14:paraId="61570696"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(0.29)</w:t>
            </w:r>
          </w:p>
        </w:tc>
        <w:tc>
          <w:tcPr>
            <w:tcW w:w="438" w:type="pct"/>
            <w:tcBorders>
              <w:top w:val="nil"/>
              <w:left w:val="nil"/>
              <w:bottom w:val="nil"/>
              <w:right w:val="nil"/>
            </w:tcBorders>
          </w:tcPr>
          <w:p w14:paraId="62A497FC"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(0.29)</w:t>
            </w:r>
          </w:p>
        </w:tc>
        <w:tc>
          <w:tcPr>
            <w:tcW w:w="406" w:type="pct"/>
            <w:tcBorders>
              <w:top w:val="nil"/>
              <w:left w:val="nil"/>
              <w:bottom w:val="nil"/>
              <w:right w:val="nil"/>
            </w:tcBorders>
          </w:tcPr>
          <w:p w14:paraId="5F67832D"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(0.29)</w:t>
            </w:r>
          </w:p>
        </w:tc>
        <w:tc>
          <w:tcPr>
            <w:tcW w:w="564" w:type="pct"/>
            <w:tcBorders>
              <w:top w:val="nil"/>
              <w:left w:val="nil"/>
              <w:bottom w:val="nil"/>
              <w:right w:val="nil"/>
            </w:tcBorders>
          </w:tcPr>
          <w:p w14:paraId="21202D04"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(0.32)</w:t>
            </w:r>
          </w:p>
        </w:tc>
        <w:tc>
          <w:tcPr>
            <w:tcW w:w="564" w:type="pct"/>
            <w:tcBorders>
              <w:top w:val="nil"/>
              <w:left w:val="nil"/>
              <w:bottom w:val="nil"/>
              <w:right w:val="nil"/>
            </w:tcBorders>
          </w:tcPr>
          <w:p w14:paraId="6A6BB9DC"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(0.31)</w:t>
            </w:r>
          </w:p>
        </w:tc>
        <w:tc>
          <w:tcPr>
            <w:tcW w:w="564" w:type="pct"/>
            <w:tcBorders>
              <w:top w:val="nil"/>
              <w:left w:val="nil"/>
              <w:bottom w:val="nil"/>
              <w:right w:val="nil"/>
            </w:tcBorders>
          </w:tcPr>
          <w:p w14:paraId="41C60ABB"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(0.32)</w:t>
            </w:r>
          </w:p>
        </w:tc>
        <w:tc>
          <w:tcPr>
            <w:tcW w:w="564" w:type="pct"/>
            <w:tcBorders>
              <w:top w:val="nil"/>
              <w:left w:val="nil"/>
              <w:bottom w:val="nil"/>
              <w:right w:val="nil"/>
            </w:tcBorders>
          </w:tcPr>
          <w:p w14:paraId="659691A8"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(0.31)</w:t>
            </w:r>
          </w:p>
        </w:tc>
      </w:tr>
      <w:tr w:rsidR="000F16C4" w:rsidRPr="000F16C4" w14:paraId="375A3AAA" w14:textId="77777777" w:rsidTr="000972AF">
        <w:trPr>
          <w:jc w:val="center"/>
        </w:trPr>
        <w:tc>
          <w:tcPr>
            <w:tcW w:w="1094" w:type="pct"/>
            <w:tcBorders>
              <w:top w:val="nil"/>
              <w:left w:val="nil"/>
              <w:bottom w:val="nil"/>
              <w:right w:val="nil"/>
            </w:tcBorders>
          </w:tcPr>
          <w:p w14:paraId="39D95028" w14:textId="77777777" w:rsidR="000F16C4" w:rsidRPr="000F16C4" w:rsidRDefault="000F16C4" w:rsidP="000972AF">
            <w:pPr>
              <w:widowControl w:val="0"/>
              <w:autoSpaceDE w:val="0"/>
              <w:autoSpaceDN w:val="0"/>
              <w:adjustRightInd w:val="0"/>
              <w:spacing w:after="0" w:line="240" w:lineRule="auto"/>
              <w:rPr>
                <w:sz w:val="22"/>
                <w:szCs w:val="24"/>
              </w:rPr>
            </w:pPr>
            <w:r w:rsidRPr="000F16C4">
              <w:rPr>
                <w:sz w:val="22"/>
                <w:szCs w:val="24"/>
              </w:rPr>
              <w:t>Log no. of employees</w:t>
            </w:r>
          </w:p>
        </w:tc>
        <w:tc>
          <w:tcPr>
            <w:tcW w:w="403" w:type="pct"/>
            <w:tcBorders>
              <w:top w:val="nil"/>
              <w:left w:val="nil"/>
              <w:bottom w:val="nil"/>
              <w:right w:val="nil"/>
            </w:tcBorders>
          </w:tcPr>
          <w:p w14:paraId="60E4DF74"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-4.11***</w:t>
            </w:r>
          </w:p>
        </w:tc>
        <w:tc>
          <w:tcPr>
            <w:tcW w:w="403" w:type="pct"/>
            <w:tcBorders>
              <w:top w:val="nil"/>
              <w:left w:val="nil"/>
              <w:bottom w:val="nil"/>
              <w:right w:val="nil"/>
            </w:tcBorders>
          </w:tcPr>
          <w:p w14:paraId="475D4593"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-2.48***</w:t>
            </w:r>
          </w:p>
        </w:tc>
        <w:tc>
          <w:tcPr>
            <w:tcW w:w="438" w:type="pct"/>
            <w:tcBorders>
              <w:top w:val="nil"/>
              <w:left w:val="nil"/>
              <w:bottom w:val="nil"/>
              <w:right w:val="nil"/>
            </w:tcBorders>
          </w:tcPr>
          <w:p w14:paraId="6042E979"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-4.78***</w:t>
            </w:r>
          </w:p>
        </w:tc>
        <w:tc>
          <w:tcPr>
            <w:tcW w:w="406" w:type="pct"/>
            <w:tcBorders>
              <w:top w:val="nil"/>
              <w:left w:val="nil"/>
              <w:bottom w:val="nil"/>
              <w:right w:val="nil"/>
            </w:tcBorders>
          </w:tcPr>
          <w:p w14:paraId="0203B555"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-2.45***</w:t>
            </w:r>
          </w:p>
        </w:tc>
        <w:tc>
          <w:tcPr>
            <w:tcW w:w="564" w:type="pct"/>
            <w:tcBorders>
              <w:top w:val="nil"/>
              <w:left w:val="nil"/>
              <w:bottom w:val="nil"/>
              <w:right w:val="nil"/>
            </w:tcBorders>
          </w:tcPr>
          <w:p w14:paraId="63502058"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-3.39***</w:t>
            </w:r>
          </w:p>
        </w:tc>
        <w:tc>
          <w:tcPr>
            <w:tcW w:w="564" w:type="pct"/>
            <w:tcBorders>
              <w:top w:val="nil"/>
              <w:left w:val="nil"/>
              <w:bottom w:val="nil"/>
              <w:right w:val="nil"/>
            </w:tcBorders>
          </w:tcPr>
          <w:p w14:paraId="13F5BF18"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-2.44***</w:t>
            </w:r>
          </w:p>
        </w:tc>
        <w:tc>
          <w:tcPr>
            <w:tcW w:w="564" w:type="pct"/>
            <w:tcBorders>
              <w:top w:val="nil"/>
              <w:left w:val="nil"/>
              <w:bottom w:val="nil"/>
              <w:right w:val="nil"/>
            </w:tcBorders>
          </w:tcPr>
          <w:p w14:paraId="55B0AE25"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-3.87***</w:t>
            </w:r>
          </w:p>
        </w:tc>
        <w:tc>
          <w:tcPr>
            <w:tcW w:w="564" w:type="pct"/>
            <w:tcBorders>
              <w:top w:val="nil"/>
              <w:left w:val="nil"/>
              <w:bottom w:val="nil"/>
              <w:right w:val="nil"/>
            </w:tcBorders>
          </w:tcPr>
          <w:p w14:paraId="7615A4A5"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-2.44***</w:t>
            </w:r>
          </w:p>
        </w:tc>
      </w:tr>
      <w:tr w:rsidR="000F16C4" w:rsidRPr="000F16C4" w14:paraId="73E8EE3F" w14:textId="77777777" w:rsidTr="000972AF">
        <w:trPr>
          <w:jc w:val="center"/>
        </w:trPr>
        <w:tc>
          <w:tcPr>
            <w:tcW w:w="1094" w:type="pct"/>
            <w:tcBorders>
              <w:top w:val="nil"/>
              <w:left w:val="nil"/>
              <w:bottom w:val="nil"/>
              <w:right w:val="nil"/>
            </w:tcBorders>
          </w:tcPr>
          <w:p w14:paraId="1B8954D1" w14:textId="77777777" w:rsidR="000F16C4" w:rsidRPr="000F16C4" w:rsidRDefault="000F16C4" w:rsidP="000972AF">
            <w:pPr>
              <w:widowControl w:val="0"/>
              <w:autoSpaceDE w:val="0"/>
              <w:autoSpaceDN w:val="0"/>
              <w:adjustRightInd w:val="0"/>
              <w:spacing w:after="0" w:line="240" w:lineRule="auto"/>
              <w:rPr>
                <w:sz w:val="22"/>
                <w:szCs w:val="24"/>
              </w:rPr>
            </w:pPr>
          </w:p>
        </w:tc>
        <w:tc>
          <w:tcPr>
            <w:tcW w:w="403" w:type="pct"/>
            <w:tcBorders>
              <w:top w:val="nil"/>
              <w:left w:val="nil"/>
              <w:bottom w:val="nil"/>
              <w:right w:val="nil"/>
            </w:tcBorders>
          </w:tcPr>
          <w:p w14:paraId="7E878D38"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(0.74)</w:t>
            </w:r>
          </w:p>
        </w:tc>
        <w:tc>
          <w:tcPr>
            <w:tcW w:w="403" w:type="pct"/>
            <w:tcBorders>
              <w:top w:val="nil"/>
              <w:left w:val="nil"/>
              <w:bottom w:val="nil"/>
              <w:right w:val="nil"/>
            </w:tcBorders>
          </w:tcPr>
          <w:p w14:paraId="31419F7F"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(0.69)</w:t>
            </w:r>
          </w:p>
        </w:tc>
        <w:tc>
          <w:tcPr>
            <w:tcW w:w="438" w:type="pct"/>
            <w:tcBorders>
              <w:top w:val="nil"/>
              <w:left w:val="nil"/>
              <w:bottom w:val="nil"/>
              <w:right w:val="nil"/>
            </w:tcBorders>
          </w:tcPr>
          <w:p w14:paraId="3D90923F"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(0.78)</w:t>
            </w:r>
          </w:p>
        </w:tc>
        <w:tc>
          <w:tcPr>
            <w:tcW w:w="406" w:type="pct"/>
            <w:tcBorders>
              <w:top w:val="nil"/>
              <w:left w:val="nil"/>
              <w:bottom w:val="nil"/>
              <w:right w:val="nil"/>
            </w:tcBorders>
          </w:tcPr>
          <w:p w14:paraId="6E473CD2"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(0.69)</w:t>
            </w:r>
          </w:p>
        </w:tc>
        <w:tc>
          <w:tcPr>
            <w:tcW w:w="564" w:type="pct"/>
            <w:tcBorders>
              <w:top w:val="nil"/>
              <w:left w:val="nil"/>
              <w:bottom w:val="nil"/>
              <w:right w:val="nil"/>
            </w:tcBorders>
          </w:tcPr>
          <w:p w14:paraId="3DF53E7F"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(0.76)</w:t>
            </w:r>
          </w:p>
        </w:tc>
        <w:tc>
          <w:tcPr>
            <w:tcW w:w="564" w:type="pct"/>
            <w:tcBorders>
              <w:top w:val="nil"/>
              <w:left w:val="nil"/>
              <w:bottom w:val="nil"/>
              <w:right w:val="nil"/>
            </w:tcBorders>
          </w:tcPr>
          <w:p w14:paraId="046B71DF"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(0.71)</w:t>
            </w:r>
          </w:p>
        </w:tc>
        <w:tc>
          <w:tcPr>
            <w:tcW w:w="564" w:type="pct"/>
            <w:tcBorders>
              <w:top w:val="nil"/>
              <w:left w:val="nil"/>
              <w:bottom w:val="nil"/>
              <w:right w:val="nil"/>
            </w:tcBorders>
          </w:tcPr>
          <w:p w14:paraId="28FC226C"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(0.79)</w:t>
            </w:r>
          </w:p>
        </w:tc>
        <w:tc>
          <w:tcPr>
            <w:tcW w:w="564" w:type="pct"/>
            <w:tcBorders>
              <w:top w:val="nil"/>
              <w:left w:val="nil"/>
              <w:bottom w:val="nil"/>
              <w:right w:val="nil"/>
            </w:tcBorders>
          </w:tcPr>
          <w:p w14:paraId="6BC15BBA"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(0.71)</w:t>
            </w:r>
          </w:p>
        </w:tc>
      </w:tr>
      <w:tr w:rsidR="000F16C4" w:rsidRPr="000F16C4" w14:paraId="5758A2CD" w14:textId="77777777" w:rsidTr="000972AF">
        <w:trPr>
          <w:jc w:val="center"/>
        </w:trPr>
        <w:tc>
          <w:tcPr>
            <w:tcW w:w="1094" w:type="pct"/>
            <w:tcBorders>
              <w:top w:val="nil"/>
              <w:left w:val="nil"/>
              <w:bottom w:val="nil"/>
              <w:right w:val="nil"/>
            </w:tcBorders>
          </w:tcPr>
          <w:p w14:paraId="4A08D482" w14:textId="77777777" w:rsidR="000F16C4" w:rsidRPr="000F16C4" w:rsidRDefault="000F16C4" w:rsidP="000972AF">
            <w:pPr>
              <w:widowControl w:val="0"/>
              <w:autoSpaceDE w:val="0"/>
              <w:autoSpaceDN w:val="0"/>
              <w:adjustRightInd w:val="0"/>
              <w:spacing w:after="0" w:line="240" w:lineRule="auto"/>
              <w:rPr>
                <w:sz w:val="22"/>
                <w:szCs w:val="24"/>
              </w:rPr>
            </w:pPr>
            <w:r w:rsidRPr="000F16C4">
              <w:rPr>
                <w:sz w:val="22"/>
                <w:szCs w:val="24"/>
              </w:rPr>
              <w:t>Log % of educated employees</w:t>
            </w:r>
          </w:p>
        </w:tc>
        <w:tc>
          <w:tcPr>
            <w:tcW w:w="403" w:type="pct"/>
            <w:tcBorders>
              <w:top w:val="nil"/>
              <w:left w:val="nil"/>
              <w:bottom w:val="nil"/>
              <w:right w:val="nil"/>
            </w:tcBorders>
          </w:tcPr>
          <w:p w14:paraId="4FCD4F2D"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20.14**</w:t>
            </w:r>
          </w:p>
        </w:tc>
        <w:tc>
          <w:tcPr>
            <w:tcW w:w="403" w:type="pct"/>
            <w:tcBorders>
              <w:top w:val="nil"/>
              <w:left w:val="nil"/>
              <w:bottom w:val="nil"/>
              <w:right w:val="nil"/>
            </w:tcBorders>
          </w:tcPr>
          <w:p w14:paraId="126343EC"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17.48*</w:t>
            </w:r>
          </w:p>
        </w:tc>
        <w:tc>
          <w:tcPr>
            <w:tcW w:w="438" w:type="pct"/>
            <w:tcBorders>
              <w:top w:val="nil"/>
              <w:left w:val="nil"/>
              <w:bottom w:val="nil"/>
              <w:right w:val="nil"/>
            </w:tcBorders>
          </w:tcPr>
          <w:p w14:paraId="05316EA8"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-1.22</w:t>
            </w:r>
          </w:p>
        </w:tc>
        <w:tc>
          <w:tcPr>
            <w:tcW w:w="406" w:type="pct"/>
            <w:tcBorders>
              <w:top w:val="nil"/>
              <w:left w:val="nil"/>
              <w:bottom w:val="nil"/>
              <w:right w:val="nil"/>
            </w:tcBorders>
          </w:tcPr>
          <w:p w14:paraId="546EE62B"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17.67*</w:t>
            </w:r>
          </w:p>
        </w:tc>
        <w:tc>
          <w:tcPr>
            <w:tcW w:w="564" w:type="pct"/>
            <w:tcBorders>
              <w:top w:val="nil"/>
              <w:left w:val="nil"/>
              <w:bottom w:val="nil"/>
              <w:right w:val="nil"/>
            </w:tcBorders>
          </w:tcPr>
          <w:p w14:paraId="3D80CFDF"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19.24*</w:t>
            </w:r>
          </w:p>
        </w:tc>
        <w:tc>
          <w:tcPr>
            <w:tcW w:w="564" w:type="pct"/>
            <w:tcBorders>
              <w:top w:val="nil"/>
              <w:left w:val="nil"/>
              <w:bottom w:val="nil"/>
              <w:right w:val="nil"/>
            </w:tcBorders>
          </w:tcPr>
          <w:p w14:paraId="11B36619"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18.11*</w:t>
            </w:r>
          </w:p>
        </w:tc>
        <w:tc>
          <w:tcPr>
            <w:tcW w:w="564" w:type="pct"/>
            <w:tcBorders>
              <w:top w:val="nil"/>
              <w:left w:val="nil"/>
              <w:bottom w:val="nil"/>
              <w:right w:val="nil"/>
            </w:tcBorders>
          </w:tcPr>
          <w:p w14:paraId="2A607685"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6.68</w:t>
            </w:r>
          </w:p>
        </w:tc>
        <w:tc>
          <w:tcPr>
            <w:tcW w:w="564" w:type="pct"/>
            <w:tcBorders>
              <w:top w:val="nil"/>
              <w:left w:val="nil"/>
              <w:bottom w:val="nil"/>
              <w:right w:val="nil"/>
            </w:tcBorders>
          </w:tcPr>
          <w:p w14:paraId="51AF90F3"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18.35*</w:t>
            </w:r>
          </w:p>
        </w:tc>
      </w:tr>
      <w:tr w:rsidR="000F16C4" w:rsidRPr="000F16C4" w14:paraId="7D58F7AC" w14:textId="77777777" w:rsidTr="000972AF">
        <w:trPr>
          <w:jc w:val="center"/>
        </w:trPr>
        <w:tc>
          <w:tcPr>
            <w:tcW w:w="1094" w:type="pct"/>
            <w:tcBorders>
              <w:top w:val="nil"/>
              <w:left w:val="nil"/>
              <w:bottom w:val="nil"/>
              <w:right w:val="nil"/>
            </w:tcBorders>
          </w:tcPr>
          <w:p w14:paraId="7E6A7B38" w14:textId="77777777" w:rsidR="000F16C4" w:rsidRPr="000F16C4" w:rsidRDefault="000F16C4" w:rsidP="000972AF">
            <w:pPr>
              <w:widowControl w:val="0"/>
              <w:autoSpaceDE w:val="0"/>
              <w:autoSpaceDN w:val="0"/>
              <w:adjustRightInd w:val="0"/>
              <w:spacing w:after="0" w:line="240" w:lineRule="auto"/>
              <w:rPr>
                <w:sz w:val="22"/>
                <w:szCs w:val="24"/>
              </w:rPr>
            </w:pPr>
          </w:p>
        </w:tc>
        <w:tc>
          <w:tcPr>
            <w:tcW w:w="403" w:type="pct"/>
            <w:tcBorders>
              <w:top w:val="nil"/>
              <w:left w:val="nil"/>
              <w:bottom w:val="nil"/>
              <w:right w:val="nil"/>
            </w:tcBorders>
          </w:tcPr>
          <w:p w14:paraId="560610FF"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(7.60)</w:t>
            </w:r>
          </w:p>
        </w:tc>
        <w:tc>
          <w:tcPr>
            <w:tcW w:w="403" w:type="pct"/>
            <w:tcBorders>
              <w:top w:val="nil"/>
              <w:left w:val="nil"/>
              <w:bottom w:val="nil"/>
              <w:right w:val="nil"/>
            </w:tcBorders>
          </w:tcPr>
          <w:p w14:paraId="41C6F801"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(7.21)</w:t>
            </w:r>
          </w:p>
        </w:tc>
        <w:tc>
          <w:tcPr>
            <w:tcW w:w="438" w:type="pct"/>
            <w:tcBorders>
              <w:top w:val="nil"/>
              <w:left w:val="nil"/>
              <w:bottom w:val="nil"/>
              <w:right w:val="nil"/>
            </w:tcBorders>
          </w:tcPr>
          <w:p w14:paraId="09251163"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(7.56)</w:t>
            </w:r>
          </w:p>
        </w:tc>
        <w:tc>
          <w:tcPr>
            <w:tcW w:w="406" w:type="pct"/>
            <w:tcBorders>
              <w:top w:val="nil"/>
              <w:left w:val="nil"/>
              <w:bottom w:val="nil"/>
              <w:right w:val="nil"/>
            </w:tcBorders>
          </w:tcPr>
          <w:p w14:paraId="6E18C054"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(7.21)</w:t>
            </w:r>
          </w:p>
        </w:tc>
        <w:tc>
          <w:tcPr>
            <w:tcW w:w="564" w:type="pct"/>
            <w:tcBorders>
              <w:top w:val="nil"/>
              <w:left w:val="nil"/>
              <w:bottom w:val="nil"/>
              <w:right w:val="nil"/>
            </w:tcBorders>
          </w:tcPr>
          <w:p w14:paraId="46974DA7"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(7.89)</w:t>
            </w:r>
          </w:p>
        </w:tc>
        <w:tc>
          <w:tcPr>
            <w:tcW w:w="564" w:type="pct"/>
            <w:tcBorders>
              <w:top w:val="nil"/>
              <w:left w:val="nil"/>
              <w:bottom w:val="nil"/>
              <w:right w:val="nil"/>
            </w:tcBorders>
          </w:tcPr>
          <w:p w14:paraId="358AD251"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(7.50)</w:t>
            </w:r>
          </w:p>
        </w:tc>
        <w:tc>
          <w:tcPr>
            <w:tcW w:w="564" w:type="pct"/>
            <w:tcBorders>
              <w:top w:val="nil"/>
              <w:left w:val="nil"/>
              <w:bottom w:val="nil"/>
              <w:right w:val="nil"/>
            </w:tcBorders>
          </w:tcPr>
          <w:p w14:paraId="29B32E51"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(7.77)</w:t>
            </w:r>
          </w:p>
        </w:tc>
        <w:tc>
          <w:tcPr>
            <w:tcW w:w="564" w:type="pct"/>
            <w:tcBorders>
              <w:top w:val="nil"/>
              <w:left w:val="nil"/>
              <w:bottom w:val="nil"/>
              <w:right w:val="nil"/>
            </w:tcBorders>
          </w:tcPr>
          <w:p w14:paraId="5A049870"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(7.50)</w:t>
            </w:r>
          </w:p>
        </w:tc>
      </w:tr>
      <w:tr w:rsidR="000F16C4" w:rsidRPr="000F16C4" w14:paraId="0B5A869A" w14:textId="77777777" w:rsidTr="000972AF">
        <w:trPr>
          <w:jc w:val="center"/>
        </w:trPr>
        <w:tc>
          <w:tcPr>
            <w:tcW w:w="1094" w:type="pct"/>
            <w:tcBorders>
              <w:top w:val="nil"/>
              <w:left w:val="nil"/>
              <w:bottom w:val="nil"/>
              <w:right w:val="nil"/>
            </w:tcBorders>
          </w:tcPr>
          <w:p w14:paraId="59226C68" w14:textId="77777777" w:rsidR="000F16C4" w:rsidRPr="000F16C4" w:rsidRDefault="000F16C4" w:rsidP="000972AF">
            <w:pPr>
              <w:widowControl w:val="0"/>
              <w:autoSpaceDE w:val="0"/>
              <w:autoSpaceDN w:val="0"/>
              <w:adjustRightInd w:val="0"/>
              <w:spacing w:after="0" w:line="240" w:lineRule="auto"/>
              <w:rPr>
                <w:sz w:val="22"/>
                <w:szCs w:val="24"/>
              </w:rPr>
            </w:pPr>
            <w:r w:rsidRPr="000F16C4">
              <w:rPr>
                <w:sz w:val="22"/>
                <w:szCs w:val="24"/>
              </w:rPr>
              <w:t>Industry FE</w:t>
            </w:r>
          </w:p>
        </w:tc>
        <w:tc>
          <w:tcPr>
            <w:tcW w:w="403" w:type="pct"/>
            <w:tcBorders>
              <w:top w:val="nil"/>
              <w:left w:val="nil"/>
              <w:bottom w:val="nil"/>
              <w:right w:val="nil"/>
            </w:tcBorders>
          </w:tcPr>
          <w:p w14:paraId="18A5B36A"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Included</w:t>
            </w:r>
          </w:p>
        </w:tc>
        <w:tc>
          <w:tcPr>
            <w:tcW w:w="403" w:type="pct"/>
            <w:tcBorders>
              <w:top w:val="nil"/>
              <w:left w:val="nil"/>
              <w:bottom w:val="nil"/>
              <w:right w:val="nil"/>
            </w:tcBorders>
          </w:tcPr>
          <w:p w14:paraId="27E0B6FC"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Included</w:t>
            </w:r>
          </w:p>
        </w:tc>
        <w:tc>
          <w:tcPr>
            <w:tcW w:w="438" w:type="pct"/>
            <w:tcBorders>
              <w:top w:val="nil"/>
              <w:left w:val="nil"/>
              <w:bottom w:val="nil"/>
              <w:right w:val="nil"/>
            </w:tcBorders>
          </w:tcPr>
          <w:p w14:paraId="72D8B457"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Included</w:t>
            </w:r>
          </w:p>
        </w:tc>
        <w:tc>
          <w:tcPr>
            <w:tcW w:w="406" w:type="pct"/>
            <w:tcBorders>
              <w:top w:val="nil"/>
              <w:left w:val="nil"/>
              <w:bottom w:val="nil"/>
              <w:right w:val="nil"/>
            </w:tcBorders>
          </w:tcPr>
          <w:p w14:paraId="7E8B62CA"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Included</w:t>
            </w:r>
          </w:p>
        </w:tc>
        <w:tc>
          <w:tcPr>
            <w:tcW w:w="564" w:type="pct"/>
            <w:tcBorders>
              <w:top w:val="nil"/>
              <w:left w:val="nil"/>
              <w:bottom w:val="nil"/>
              <w:right w:val="nil"/>
            </w:tcBorders>
          </w:tcPr>
          <w:p w14:paraId="4459E2E2"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Included</w:t>
            </w:r>
          </w:p>
        </w:tc>
        <w:tc>
          <w:tcPr>
            <w:tcW w:w="564" w:type="pct"/>
            <w:tcBorders>
              <w:top w:val="nil"/>
              <w:left w:val="nil"/>
              <w:bottom w:val="nil"/>
              <w:right w:val="nil"/>
            </w:tcBorders>
          </w:tcPr>
          <w:p w14:paraId="4761C98C"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Included</w:t>
            </w:r>
          </w:p>
        </w:tc>
        <w:tc>
          <w:tcPr>
            <w:tcW w:w="564" w:type="pct"/>
            <w:tcBorders>
              <w:top w:val="nil"/>
              <w:left w:val="nil"/>
              <w:bottom w:val="nil"/>
              <w:right w:val="nil"/>
            </w:tcBorders>
          </w:tcPr>
          <w:p w14:paraId="0D7DEAB6"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Included</w:t>
            </w:r>
          </w:p>
        </w:tc>
        <w:tc>
          <w:tcPr>
            <w:tcW w:w="564" w:type="pct"/>
            <w:tcBorders>
              <w:top w:val="nil"/>
              <w:left w:val="nil"/>
              <w:bottom w:val="nil"/>
              <w:right w:val="nil"/>
            </w:tcBorders>
          </w:tcPr>
          <w:p w14:paraId="32A1FC58"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Included</w:t>
            </w:r>
          </w:p>
        </w:tc>
      </w:tr>
      <w:tr w:rsidR="000F16C4" w:rsidRPr="000F16C4" w14:paraId="2ED0396E" w14:textId="77777777" w:rsidTr="000972AF">
        <w:trPr>
          <w:jc w:val="center"/>
        </w:trPr>
        <w:tc>
          <w:tcPr>
            <w:tcW w:w="1094" w:type="pct"/>
            <w:tcBorders>
              <w:top w:val="nil"/>
              <w:left w:val="nil"/>
              <w:bottom w:val="nil"/>
              <w:right w:val="nil"/>
            </w:tcBorders>
          </w:tcPr>
          <w:p w14:paraId="2AEA7220" w14:textId="77777777" w:rsidR="000F16C4" w:rsidRPr="000F16C4" w:rsidRDefault="000F16C4" w:rsidP="000972AF">
            <w:pPr>
              <w:widowControl w:val="0"/>
              <w:autoSpaceDE w:val="0"/>
              <w:autoSpaceDN w:val="0"/>
              <w:adjustRightInd w:val="0"/>
              <w:spacing w:after="0" w:line="240" w:lineRule="auto"/>
              <w:rPr>
                <w:sz w:val="22"/>
                <w:szCs w:val="24"/>
              </w:rPr>
            </w:pPr>
            <w:r w:rsidRPr="000F16C4">
              <w:rPr>
                <w:sz w:val="22"/>
                <w:szCs w:val="24"/>
              </w:rPr>
              <w:t>Time FE</w:t>
            </w:r>
          </w:p>
        </w:tc>
        <w:tc>
          <w:tcPr>
            <w:tcW w:w="403" w:type="pct"/>
            <w:tcBorders>
              <w:top w:val="nil"/>
              <w:left w:val="nil"/>
              <w:bottom w:val="nil"/>
              <w:right w:val="nil"/>
            </w:tcBorders>
          </w:tcPr>
          <w:p w14:paraId="7F290798"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Included</w:t>
            </w:r>
          </w:p>
        </w:tc>
        <w:tc>
          <w:tcPr>
            <w:tcW w:w="403" w:type="pct"/>
            <w:tcBorders>
              <w:top w:val="nil"/>
              <w:left w:val="nil"/>
              <w:bottom w:val="nil"/>
              <w:right w:val="nil"/>
            </w:tcBorders>
          </w:tcPr>
          <w:p w14:paraId="6415477B"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Included</w:t>
            </w:r>
          </w:p>
        </w:tc>
        <w:tc>
          <w:tcPr>
            <w:tcW w:w="438" w:type="pct"/>
            <w:tcBorders>
              <w:top w:val="nil"/>
              <w:left w:val="nil"/>
              <w:bottom w:val="nil"/>
              <w:right w:val="nil"/>
            </w:tcBorders>
          </w:tcPr>
          <w:p w14:paraId="1F641DDD"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Included</w:t>
            </w:r>
          </w:p>
        </w:tc>
        <w:tc>
          <w:tcPr>
            <w:tcW w:w="406" w:type="pct"/>
            <w:tcBorders>
              <w:top w:val="nil"/>
              <w:left w:val="nil"/>
              <w:bottom w:val="nil"/>
              <w:right w:val="nil"/>
            </w:tcBorders>
          </w:tcPr>
          <w:p w14:paraId="5EDA7B81"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Included</w:t>
            </w:r>
          </w:p>
        </w:tc>
        <w:tc>
          <w:tcPr>
            <w:tcW w:w="564" w:type="pct"/>
            <w:tcBorders>
              <w:top w:val="nil"/>
              <w:left w:val="nil"/>
              <w:bottom w:val="nil"/>
              <w:right w:val="nil"/>
            </w:tcBorders>
          </w:tcPr>
          <w:p w14:paraId="7EC0E3FE"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Included</w:t>
            </w:r>
          </w:p>
        </w:tc>
        <w:tc>
          <w:tcPr>
            <w:tcW w:w="564" w:type="pct"/>
            <w:tcBorders>
              <w:top w:val="nil"/>
              <w:left w:val="nil"/>
              <w:bottom w:val="nil"/>
              <w:right w:val="nil"/>
            </w:tcBorders>
          </w:tcPr>
          <w:p w14:paraId="48F78933"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Included</w:t>
            </w:r>
          </w:p>
        </w:tc>
        <w:tc>
          <w:tcPr>
            <w:tcW w:w="564" w:type="pct"/>
            <w:tcBorders>
              <w:top w:val="nil"/>
              <w:left w:val="nil"/>
              <w:bottom w:val="nil"/>
              <w:right w:val="nil"/>
            </w:tcBorders>
          </w:tcPr>
          <w:p w14:paraId="5B57422B"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Included</w:t>
            </w:r>
          </w:p>
        </w:tc>
        <w:tc>
          <w:tcPr>
            <w:tcW w:w="564" w:type="pct"/>
            <w:tcBorders>
              <w:top w:val="nil"/>
              <w:left w:val="nil"/>
              <w:bottom w:val="nil"/>
              <w:right w:val="nil"/>
            </w:tcBorders>
          </w:tcPr>
          <w:p w14:paraId="3D9240E4"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Included</w:t>
            </w:r>
          </w:p>
        </w:tc>
      </w:tr>
      <w:tr w:rsidR="000F16C4" w:rsidRPr="000F16C4" w14:paraId="4BAF9F0D" w14:textId="77777777" w:rsidTr="000972AF">
        <w:trPr>
          <w:jc w:val="center"/>
        </w:trPr>
        <w:tc>
          <w:tcPr>
            <w:tcW w:w="1094" w:type="pct"/>
            <w:tcBorders>
              <w:top w:val="nil"/>
              <w:left w:val="nil"/>
              <w:bottom w:val="nil"/>
              <w:right w:val="nil"/>
            </w:tcBorders>
          </w:tcPr>
          <w:p w14:paraId="0537F932" w14:textId="77777777" w:rsidR="000F16C4" w:rsidRPr="000F16C4" w:rsidRDefault="000F16C4" w:rsidP="000972AF">
            <w:pPr>
              <w:widowControl w:val="0"/>
              <w:autoSpaceDE w:val="0"/>
              <w:autoSpaceDN w:val="0"/>
              <w:adjustRightInd w:val="0"/>
              <w:spacing w:after="0" w:line="240" w:lineRule="auto"/>
              <w:rPr>
                <w:sz w:val="22"/>
                <w:szCs w:val="24"/>
              </w:rPr>
            </w:pPr>
          </w:p>
        </w:tc>
        <w:tc>
          <w:tcPr>
            <w:tcW w:w="403" w:type="pct"/>
            <w:tcBorders>
              <w:top w:val="nil"/>
              <w:left w:val="nil"/>
              <w:bottom w:val="nil"/>
              <w:right w:val="nil"/>
            </w:tcBorders>
          </w:tcPr>
          <w:p w14:paraId="4F5FAA89"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403" w:type="pct"/>
            <w:tcBorders>
              <w:top w:val="nil"/>
              <w:left w:val="nil"/>
              <w:bottom w:val="nil"/>
              <w:right w:val="nil"/>
            </w:tcBorders>
          </w:tcPr>
          <w:p w14:paraId="241E2C87"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438" w:type="pct"/>
            <w:tcBorders>
              <w:top w:val="nil"/>
              <w:left w:val="nil"/>
              <w:bottom w:val="nil"/>
              <w:right w:val="nil"/>
            </w:tcBorders>
          </w:tcPr>
          <w:p w14:paraId="349EF9F4"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406" w:type="pct"/>
            <w:tcBorders>
              <w:top w:val="nil"/>
              <w:left w:val="nil"/>
              <w:bottom w:val="nil"/>
              <w:right w:val="nil"/>
            </w:tcBorders>
          </w:tcPr>
          <w:p w14:paraId="51E7E759"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564" w:type="pct"/>
            <w:tcBorders>
              <w:top w:val="nil"/>
              <w:left w:val="nil"/>
              <w:bottom w:val="nil"/>
              <w:right w:val="nil"/>
            </w:tcBorders>
          </w:tcPr>
          <w:p w14:paraId="48A315C7"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564" w:type="pct"/>
            <w:tcBorders>
              <w:top w:val="nil"/>
              <w:left w:val="nil"/>
              <w:bottom w:val="nil"/>
              <w:right w:val="nil"/>
            </w:tcBorders>
          </w:tcPr>
          <w:p w14:paraId="338741F8"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564" w:type="pct"/>
            <w:tcBorders>
              <w:top w:val="nil"/>
              <w:left w:val="nil"/>
              <w:bottom w:val="nil"/>
              <w:right w:val="nil"/>
            </w:tcBorders>
          </w:tcPr>
          <w:p w14:paraId="66FA964A"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564" w:type="pct"/>
            <w:tcBorders>
              <w:top w:val="nil"/>
              <w:left w:val="nil"/>
              <w:bottom w:val="nil"/>
              <w:right w:val="nil"/>
            </w:tcBorders>
          </w:tcPr>
          <w:p w14:paraId="366494DC" w14:textId="77777777" w:rsidR="000F16C4" w:rsidRPr="000F16C4" w:rsidRDefault="000F16C4" w:rsidP="000972AF">
            <w:pPr>
              <w:widowControl w:val="0"/>
              <w:autoSpaceDE w:val="0"/>
              <w:autoSpaceDN w:val="0"/>
              <w:adjustRightInd w:val="0"/>
              <w:spacing w:after="0" w:line="240" w:lineRule="auto"/>
              <w:jc w:val="center"/>
              <w:rPr>
                <w:sz w:val="22"/>
                <w:szCs w:val="24"/>
              </w:rPr>
            </w:pPr>
          </w:p>
        </w:tc>
      </w:tr>
      <w:tr w:rsidR="000F16C4" w:rsidRPr="000F16C4" w14:paraId="6076ED94" w14:textId="77777777" w:rsidTr="000972AF">
        <w:trPr>
          <w:jc w:val="center"/>
        </w:trPr>
        <w:tc>
          <w:tcPr>
            <w:tcW w:w="1094" w:type="pct"/>
            <w:tcBorders>
              <w:top w:val="nil"/>
              <w:left w:val="nil"/>
              <w:bottom w:val="nil"/>
              <w:right w:val="nil"/>
            </w:tcBorders>
          </w:tcPr>
          <w:p w14:paraId="2B759B7A" w14:textId="77777777" w:rsidR="000F16C4" w:rsidRPr="000F16C4" w:rsidRDefault="000F16C4" w:rsidP="000972AF">
            <w:pPr>
              <w:widowControl w:val="0"/>
              <w:autoSpaceDE w:val="0"/>
              <w:autoSpaceDN w:val="0"/>
              <w:adjustRightInd w:val="0"/>
              <w:spacing w:after="0" w:line="240" w:lineRule="auto"/>
              <w:rPr>
                <w:sz w:val="22"/>
                <w:szCs w:val="24"/>
              </w:rPr>
            </w:pPr>
            <w:r w:rsidRPr="000F16C4">
              <w:rPr>
                <w:sz w:val="22"/>
                <w:szCs w:val="24"/>
              </w:rPr>
              <w:t>Constant</w:t>
            </w:r>
          </w:p>
        </w:tc>
        <w:tc>
          <w:tcPr>
            <w:tcW w:w="403" w:type="pct"/>
            <w:tcBorders>
              <w:top w:val="nil"/>
              <w:left w:val="nil"/>
              <w:bottom w:val="nil"/>
              <w:right w:val="nil"/>
            </w:tcBorders>
          </w:tcPr>
          <w:p w14:paraId="59DA646C"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-64.47***</w:t>
            </w:r>
          </w:p>
        </w:tc>
        <w:tc>
          <w:tcPr>
            <w:tcW w:w="403" w:type="pct"/>
            <w:tcBorders>
              <w:top w:val="nil"/>
              <w:left w:val="nil"/>
              <w:bottom w:val="nil"/>
              <w:right w:val="nil"/>
            </w:tcBorders>
          </w:tcPr>
          <w:p w14:paraId="2A4B598E"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-68.23***</w:t>
            </w:r>
          </w:p>
        </w:tc>
        <w:tc>
          <w:tcPr>
            <w:tcW w:w="438" w:type="pct"/>
            <w:tcBorders>
              <w:top w:val="nil"/>
              <w:left w:val="nil"/>
              <w:bottom w:val="nil"/>
              <w:right w:val="nil"/>
            </w:tcBorders>
          </w:tcPr>
          <w:p w14:paraId="27B759A8"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-49.30***</w:t>
            </w:r>
          </w:p>
        </w:tc>
        <w:tc>
          <w:tcPr>
            <w:tcW w:w="406" w:type="pct"/>
            <w:tcBorders>
              <w:top w:val="nil"/>
              <w:left w:val="nil"/>
              <w:bottom w:val="nil"/>
              <w:right w:val="nil"/>
            </w:tcBorders>
          </w:tcPr>
          <w:p w14:paraId="3FF736EE"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-69.52***</w:t>
            </w:r>
          </w:p>
        </w:tc>
        <w:tc>
          <w:tcPr>
            <w:tcW w:w="564" w:type="pct"/>
            <w:tcBorders>
              <w:top w:val="nil"/>
              <w:left w:val="nil"/>
              <w:bottom w:val="nil"/>
              <w:right w:val="nil"/>
            </w:tcBorders>
          </w:tcPr>
          <w:p w14:paraId="0A032B72"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-71.30***</w:t>
            </w:r>
          </w:p>
        </w:tc>
        <w:tc>
          <w:tcPr>
            <w:tcW w:w="564" w:type="pct"/>
            <w:tcBorders>
              <w:top w:val="nil"/>
              <w:left w:val="nil"/>
              <w:bottom w:val="nil"/>
              <w:right w:val="nil"/>
            </w:tcBorders>
          </w:tcPr>
          <w:p w14:paraId="36A665DE"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-73.06***</w:t>
            </w:r>
          </w:p>
        </w:tc>
        <w:tc>
          <w:tcPr>
            <w:tcW w:w="564" w:type="pct"/>
            <w:tcBorders>
              <w:top w:val="nil"/>
              <w:left w:val="nil"/>
              <w:bottom w:val="nil"/>
              <w:right w:val="nil"/>
            </w:tcBorders>
          </w:tcPr>
          <w:p w14:paraId="289ECAFE"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-60.60***</w:t>
            </w:r>
          </w:p>
        </w:tc>
        <w:tc>
          <w:tcPr>
            <w:tcW w:w="564" w:type="pct"/>
            <w:tcBorders>
              <w:top w:val="nil"/>
              <w:left w:val="nil"/>
              <w:bottom w:val="nil"/>
              <w:right w:val="nil"/>
            </w:tcBorders>
          </w:tcPr>
          <w:p w14:paraId="6EDE47D7"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-75.02***</w:t>
            </w:r>
          </w:p>
        </w:tc>
      </w:tr>
      <w:tr w:rsidR="000F16C4" w:rsidRPr="000F16C4" w14:paraId="11309C03" w14:textId="77777777" w:rsidTr="000972AF">
        <w:trPr>
          <w:jc w:val="center"/>
        </w:trPr>
        <w:tc>
          <w:tcPr>
            <w:tcW w:w="1094" w:type="pct"/>
            <w:tcBorders>
              <w:top w:val="nil"/>
              <w:left w:val="nil"/>
              <w:bottom w:val="nil"/>
              <w:right w:val="nil"/>
            </w:tcBorders>
          </w:tcPr>
          <w:p w14:paraId="4D8524F3" w14:textId="77777777" w:rsidR="000F16C4" w:rsidRPr="000F16C4" w:rsidRDefault="000F16C4" w:rsidP="000972AF">
            <w:pPr>
              <w:widowControl w:val="0"/>
              <w:autoSpaceDE w:val="0"/>
              <w:autoSpaceDN w:val="0"/>
              <w:adjustRightInd w:val="0"/>
              <w:spacing w:after="0" w:line="240" w:lineRule="auto"/>
              <w:rPr>
                <w:sz w:val="22"/>
                <w:szCs w:val="24"/>
              </w:rPr>
            </w:pPr>
          </w:p>
        </w:tc>
        <w:tc>
          <w:tcPr>
            <w:tcW w:w="403" w:type="pct"/>
            <w:tcBorders>
              <w:top w:val="nil"/>
              <w:left w:val="nil"/>
              <w:bottom w:val="nil"/>
              <w:right w:val="nil"/>
            </w:tcBorders>
          </w:tcPr>
          <w:p w14:paraId="07E7647C"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(9.26)</w:t>
            </w:r>
          </w:p>
        </w:tc>
        <w:tc>
          <w:tcPr>
            <w:tcW w:w="403" w:type="pct"/>
            <w:tcBorders>
              <w:top w:val="nil"/>
              <w:left w:val="nil"/>
              <w:bottom w:val="nil"/>
              <w:right w:val="nil"/>
            </w:tcBorders>
          </w:tcPr>
          <w:p w14:paraId="5306933B"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(8.20)</w:t>
            </w:r>
          </w:p>
        </w:tc>
        <w:tc>
          <w:tcPr>
            <w:tcW w:w="438" w:type="pct"/>
            <w:tcBorders>
              <w:top w:val="nil"/>
              <w:left w:val="nil"/>
              <w:bottom w:val="nil"/>
              <w:right w:val="nil"/>
            </w:tcBorders>
          </w:tcPr>
          <w:p w14:paraId="3E4B2263"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(8.90)</w:t>
            </w:r>
          </w:p>
        </w:tc>
        <w:tc>
          <w:tcPr>
            <w:tcW w:w="406" w:type="pct"/>
            <w:tcBorders>
              <w:top w:val="nil"/>
              <w:left w:val="nil"/>
              <w:bottom w:val="nil"/>
              <w:right w:val="nil"/>
            </w:tcBorders>
          </w:tcPr>
          <w:p w14:paraId="637315A4"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(8.38)</w:t>
            </w:r>
          </w:p>
        </w:tc>
        <w:tc>
          <w:tcPr>
            <w:tcW w:w="564" w:type="pct"/>
            <w:tcBorders>
              <w:top w:val="nil"/>
              <w:left w:val="nil"/>
              <w:bottom w:val="nil"/>
              <w:right w:val="nil"/>
            </w:tcBorders>
          </w:tcPr>
          <w:p w14:paraId="51122113"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(9.92)</w:t>
            </w:r>
          </w:p>
        </w:tc>
        <w:tc>
          <w:tcPr>
            <w:tcW w:w="564" w:type="pct"/>
            <w:tcBorders>
              <w:top w:val="nil"/>
              <w:left w:val="nil"/>
              <w:bottom w:val="nil"/>
              <w:right w:val="nil"/>
            </w:tcBorders>
          </w:tcPr>
          <w:p w14:paraId="3F8BB057"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(8.60)</w:t>
            </w:r>
          </w:p>
        </w:tc>
        <w:tc>
          <w:tcPr>
            <w:tcW w:w="564" w:type="pct"/>
            <w:tcBorders>
              <w:top w:val="nil"/>
              <w:left w:val="nil"/>
              <w:bottom w:val="nil"/>
              <w:right w:val="nil"/>
            </w:tcBorders>
          </w:tcPr>
          <w:p w14:paraId="6CF8DCA9"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(9.43)</w:t>
            </w:r>
          </w:p>
        </w:tc>
        <w:tc>
          <w:tcPr>
            <w:tcW w:w="564" w:type="pct"/>
            <w:tcBorders>
              <w:top w:val="nil"/>
              <w:left w:val="nil"/>
              <w:bottom w:val="nil"/>
              <w:right w:val="nil"/>
            </w:tcBorders>
          </w:tcPr>
          <w:p w14:paraId="22361E2E"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(8.75)</w:t>
            </w:r>
          </w:p>
        </w:tc>
      </w:tr>
      <w:tr w:rsidR="000F16C4" w:rsidRPr="000F16C4" w14:paraId="68093FDF" w14:textId="77777777" w:rsidTr="000972AF">
        <w:trPr>
          <w:jc w:val="center"/>
        </w:trPr>
        <w:tc>
          <w:tcPr>
            <w:tcW w:w="1094" w:type="pct"/>
            <w:tcBorders>
              <w:top w:val="nil"/>
              <w:left w:val="nil"/>
              <w:bottom w:val="nil"/>
              <w:right w:val="nil"/>
            </w:tcBorders>
          </w:tcPr>
          <w:p w14:paraId="10DDD5A4" w14:textId="77777777" w:rsidR="000F16C4" w:rsidRPr="000F16C4" w:rsidRDefault="000F16C4" w:rsidP="000972AF">
            <w:pPr>
              <w:widowControl w:val="0"/>
              <w:autoSpaceDE w:val="0"/>
              <w:autoSpaceDN w:val="0"/>
              <w:adjustRightInd w:val="0"/>
              <w:spacing w:after="0" w:line="240" w:lineRule="auto"/>
              <w:rPr>
                <w:sz w:val="22"/>
                <w:szCs w:val="24"/>
              </w:rPr>
            </w:pPr>
          </w:p>
        </w:tc>
        <w:tc>
          <w:tcPr>
            <w:tcW w:w="403" w:type="pct"/>
            <w:tcBorders>
              <w:top w:val="nil"/>
              <w:left w:val="nil"/>
              <w:bottom w:val="nil"/>
              <w:right w:val="nil"/>
            </w:tcBorders>
          </w:tcPr>
          <w:p w14:paraId="2959B10C"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403" w:type="pct"/>
            <w:tcBorders>
              <w:top w:val="nil"/>
              <w:left w:val="nil"/>
              <w:bottom w:val="nil"/>
              <w:right w:val="nil"/>
            </w:tcBorders>
          </w:tcPr>
          <w:p w14:paraId="70E9E33C"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438" w:type="pct"/>
            <w:tcBorders>
              <w:top w:val="nil"/>
              <w:left w:val="nil"/>
              <w:bottom w:val="nil"/>
              <w:right w:val="nil"/>
            </w:tcBorders>
          </w:tcPr>
          <w:p w14:paraId="57BF78BF"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406" w:type="pct"/>
            <w:tcBorders>
              <w:top w:val="nil"/>
              <w:left w:val="nil"/>
              <w:bottom w:val="nil"/>
              <w:right w:val="nil"/>
            </w:tcBorders>
          </w:tcPr>
          <w:p w14:paraId="67880C47"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564" w:type="pct"/>
            <w:tcBorders>
              <w:top w:val="nil"/>
              <w:left w:val="nil"/>
              <w:bottom w:val="nil"/>
              <w:right w:val="nil"/>
            </w:tcBorders>
          </w:tcPr>
          <w:p w14:paraId="694BF847"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564" w:type="pct"/>
            <w:tcBorders>
              <w:top w:val="nil"/>
              <w:left w:val="nil"/>
              <w:bottom w:val="nil"/>
              <w:right w:val="nil"/>
            </w:tcBorders>
          </w:tcPr>
          <w:p w14:paraId="228098A2"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564" w:type="pct"/>
            <w:tcBorders>
              <w:top w:val="nil"/>
              <w:left w:val="nil"/>
              <w:bottom w:val="nil"/>
              <w:right w:val="nil"/>
            </w:tcBorders>
          </w:tcPr>
          <w:p w14:paraId="3A6C345A" w14:textId="77777777" w:rsidR="000F16C4" w:rsidRPr="000F16C4" w:rsidRDefault="000F16C4" w:rsidP="000972AF">
            <w:pPr>
              <w:widowControl w:val="0"/>
              <w:autoSpaceDE w:val="0"/>
              <w:autoSpaceDN w:val="0"/>
              <w:adjustRightInd w:val="0"/>
              <w:spacing w:after="0" w:line="240" w:lineRule="auto"/>
              <w:jc w:val="center"/>
              <w:rPr>
                <w:sz w:val="22"/>
                <w:szCs w:val="24"/>
              </w:rPr>
            </w:pPr>
          </w:p>
        </w:tc>
        <w:tc>
          <w:tcPr>
            <w:tcW w:w="564" w:type="pct"/>
            <w:tcBorders>
              <w:top w:val="nil"/>
              <w:left w:val="nil"/>
              <w:bottom w:val="nil"/>
              <w:right w:val="nil"/>
            </w:tcBorders>
          </w:tcPr>
          <w:p w14:paraId="64212EB2" w14:textId="77777777" w:rsidR="000F16C4" w:rsidRPr="000F16C4" w:rsidRDefault="000F16C4" w:rsidP="000972AF">
            <w:pPr>
              <w:widowControl w:val="0"/>
              <w:autoSpaceDE w:val="0"/>
              <w:autoSpaceDN w:val="0"/>
              <w:adjustRightInd w:val="0"/>
              <w:spacing w:after="0" w:line="240" w:lineRule="auto"/>
              <w:jc w:val="center"/>
              <w:rPr>
                <w:sz w:val="22"/>
                <w:szCs w:val="24"/>
              </w:rPr>
            </w:pPr>
          </w:p>
        </w:tc>
      </w:tr>
      <w:tr w:rsidR="000F16C4" w:rsidRPr="000F16C4" w14:paraId="547A3406" w14:textId="77777777" w:rsidTr="000972AF">
        <w:trPr>
          <w:jc w:val="center"/>
        </w:trPr>
        <w:tc>
          <w:tcPr>
            <w:tcW w:w="1094" w:type="pct"/>
            <w:tcBorders>
              <w:top w:val="nil"/>
              <w:left w:val="nil"/>
              <w:bottom w:val="nil"/>
              <w:right w:val="nil"/>
            </w:tcBorders>
          </w:tcPr>
          <w:p w14:paraId="45E44CB7" w14:textId="77777777" w:rsidR="000F16C4" w:rsidRPr="000F16C4" w:rsidRDefault="000F16C4" w:rsidP="000972AF">
            <w:pPr>
              <w:widowControl w:val="0"/>
              <w:autoSpaceDE w:val="0"/>
              <w:autoSpaceDN w:val="0"/>
              <w:adjustRightInd w:val="0"/>
              <w:spacing w:after="0" w:line="240" w:lineRule="auto"/>
              <w:rPr>
                <w:sz w:val="22"/>
                <w:szCs w:val="24"/>
              </w:rPr>
            </w:pPr>
            <w:r w:rsidRPr="000F16C4">
              <w:rPr>
                <w:sz w:val="22"/>
                <w:szCs w:val="24"/>
              </w:rPr>
              <w:t>N</w:t>
            </w:r>
          </w:p>
        </w:tc>
        <w:tc>
          <w:tcPr>
            <w:tcW w:w="403" w:type="pct"/>
            <w:tcBorders>
              <w:top w:val="nil"/>
              <w:left w:val="nil"/>
              <w:bottom w:val="nil"/>
              <w:right w:val="nil"/>
            </w:tcBorders>
          </w:tcPr>
          <w:p w14:paraId="625FE83D"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6,382</w:t>
            </w:r>
          </w:p>
        </w:tc>
        <w:tc>
          <w:tcPr>
            <w:tcW w:w="403" w:type="pct"/>
            <w:tcBorders>
              <w:top w:val="nil"/>
              <w:left w:val="nil"/>
              <w:bottom w:val="nil"/>
              <w:right w:val="nil"/>
            </w:tcBorders>
          </w:tcPr>
          <w:p w14:paraId="145D4B3F"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6,382</w:t>
            </w:r>
          </w:p>
        </w:tc>
        <w:tc>
          <w:tcPr>
            <w:tcW w:w="438" w:type="pct"/>
            <w:tcBorders>
              <w:top w:val="nil"/>
              <w:left w:val="nil"/>
              <w:bottom w:val="nil"/>
              <w:right w:val="nil"/>
            </w:tcBorders>
          </w:tcPr>
          <w:p w14:paraId="5A1C769E"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3,861</w:t>
            </w:r>
          </w:p>
        </w:tc>
        <w:tc>
          <w:tcPr>
            <w:tcW w:w="406" w:type="pct"/>
            <w:tcBorders>
              <w:top w:val="nil"/>
              <w:left w:val="nil"/>
              <w:bottom w:val="nil"/>
              <w:right w:val="nil"/>
            </w:tcBorders>
          </w:tcPr>
          <w:p w14:paraId="10FF7739"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6,382</w:t>
            </w:r>
          </w:p>
        </w:tc>
        <w:tc>
          <w:tcPr>
            <w:tcW w:w="564" w:type="pct"/>
            <w:tcBorders>
              <w:top w:val="nil"/>
              <w:left w:val="nil"/>
              <w:bottom w:val="nil"/>
              <w:right w:val="nil"/>
            </w:tcBorders>
          </w:tcPr>
          <w:p w14:paraId="338D87CB"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6,382</w:t>
            </w:r>
          </w:p>
        </w:tc>
        <w:tc>
          <w:tcPr>
            <w:tcW w:w="564" w:type="pct"/>
            <w:tcBorders>
              <w:top w:val="nil"/>
              <w:left w:val="nil"/>
              <w:bottom w:val="nil"/>
              <w:right w:val="nil"/>
            </w:tcBorders>
          </w:tcPr>
          <w:p w14:paraId="579F5887"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6,382</w:t>
            </w:r>
          </w:p>
        </w:tc>
        <w:tc>
          <w:tcPr>
            <w:tcW w:w="564" w:type="pct"/>
            <w:tcBorders>
              <w:top w:val="nil"/>
              <w:left w:val="nil"/>
              <w:bottom w:val="nil"/>
              <w:right w:val="nil"/>
            </w:tcBorders>
          </w:tcPr>
          <w:p w14:paraId="17140E75"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3,861</w:t>
            </w:r>
          </w:p>
        </w:tc>
        <w:tc>
          <w:tcPr>
            <w:tcW w:w="564" w:type="pct"/>
            <w:tcBorders>
              <w:top w:val="nil"/>
              <w:left w:val="nil"/>
              <w:bottom w:val="nil"/>
              <w:right w:val="nil"/>
            </w:tcBorders>
          </w:tcPr>
          <w:p w14:paraId="777B690E"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6,382</w:t>
            </w:r>
          </w:p>
        </w:tc>
      </w:tr>
      <w:tr w:rsidR="000F16C4" w:rsidRPr="000F16C4" w14:paraId="51336638" w14:textId="77777777" w:rsidTr="000972AF">
        <w:tblPrEx>
          <w:tblBorders>
            <w:bottom w:val="single" w:sz="6" w:space="0" w:color="auto"/>
          </w:tblBorders>
        </w:tblPrEx>
        <w:trPr>
          <w:jc w:val="center"/>
        </w:trPr>
        <w:tc>
          <w:tcPr>
            <w:tcW w:w="1094" w:type="pct"/>
            <w:tcBorders>
              <w:top w:val="nil"/>
              <w:left w:val="nil"/>
              <w:bottom w:val="single" w:sz="6" w:space="0" w:color="auto"/>
              <w:right w:val="nil"/>
            </w:tcBorders>
          </w:tcPr>
          <w:p w14:paraId="6F2AA06B" w14:textId="77777777" w:rsidR="000F16C4" w:rsidRPr="000F16C4" w:rsidRDefault="000F16C4" w:rsidP="000972AF">
            <w:pPr>
              <w:widowControl w:val="0"/>
              <w:autoSpaceDE w:val="0"/>
              <w:autoSpaceDN w:val="0"/>
              <w:adjustRightInd w:val="0"/>
              <w:spacing w:after="0" w:line="240" w:lineRule="auto"/>
              <w:rPr>
                <w:sz w:val="22"/>
                <w:szCs w:val="24"/>
              </w:rPr>
            </w:pPr>
            <w:r w:rsidRPr="000F16C4">
              <w:rPr>
                <w:sz w:val="22"/>
                <w:szCs w:val="24"/>
              </w:rPr>
              <w:t>Pseudo-R</w:t>
            </w:r>
            <w:r w:rsidRPr="000F16C4">
              <w:rPr>
                <w:sz w:val="22"/>
                <w:szCs w:val="24"/>
                <w:vertAlign w:val="superscript"/>
              </w:rPr>
              <w:t>2</w:t>
            </w:r>
          </w:p>
        </w:tc>
        <w:tc>
          <w:tcPr>
            <w:tcW w:w="403" w:type="pct"/>
            <w:tcBorders>
              <w:top w:val="nil"/>
              <w:left w:val="nil"/>
              <w:bottom w:val="single" w:sz="6" w:space="0" w:color="auto"/>
              <w:right w:val="nil"/>
            </w:tcBorders>
          </w:tcPr>
          <w:p w14:paraId="51592BB2"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0.08</w:t>
            </w:r>
          </w:p>
        </w:tc>
        <w:tc>
          <w:tcPr>
            <w:tcW w:w="403" w:type="pct"/>
            <w:tcBorders>
              <w:top w:val="nil"/>
              <w:left w:val="nil"/>
              <w:bottom w:val="single" w:sz="6" w:space="0" w:color="auto"/>
              <w:right w:val="nil"/>
            </w:tcBorders>
          </w:tcPr>
          <w:p w14:paraId="64EE2B32"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0.09</w:t>
            </w:r>
          </w:p>
        </w:tc>
        <w:tc>
          <w:tcPr>
            <w:tcW w:w="438" w:type="pct"/>
            <w:tcBorders>
              <w:top w:val="nil"/>
              <w:left w:val="nil"/>
              <w:bottom w:val="single" w:sz="6" w:space="0" w:color="auto"/>
              <w:right w:val="nil"/>
            </w:tcBorders>
          </w:tcPr>
          <w:p w14:paraId="1FFC0DB5"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0.06</w:t>
            </w:r>
          </w:p>
        </w:tc>
        <w:tc>
          <w:tcPr>
            <w:tcW w:w="406" w:type="pct"/>
            <w:tcBorders>
              <w:top w:val="nil"/>
              <w:left w:val="nil"/>
              <w:bottom w:val="single" w:sz="6" w:space="0" w:color="auto"/>
              <w:right w:val="nil"/>
            </w:tcBorders>
          </w:tcPr>
          <w:p w14:paraId="23A6ABDA"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0.09</w:t>
            </w:r>
          </w:p>
        </w:tc>
        <w:tc>
          <w:tcPr>
            <w:tcW w:w="564" w:type="pct"/>
            <w:tcBorders>
              <w:top w:val="nil"/>
              <w:left w:val="nil"/>
              <w:bottom w:val="single" w:sz="6" w:space="0" w:color="auto"/>
              <w:right w:val="nil"/>
            </w:tcBorders>
          </w:tcPr>
          <w:p w14:paraId="4C1B8E88"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0.09</w:t>
            </w:r>
          </w:p>
        </w:tc>
        <w:tc>
          <w:tcPr>
            <w:tcW w:w="564" w:type="pct"/>
            <w:tcBorders>
              <w:top w:val="nil"/>
              <w:left w:val="nil"/>
              <w:bottom w:val="single" w:sz="6" w:space="0" w:color="auto"/>
              <w:right w:val="nil"/>
            </w:tcBorders>
          </w:tcPr>
          <w:p w14:paraId="5837C40F"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0.10</w:t>
            </w:r>
          </w:p>
        </w:tc>
        <w:tc>
          <w:tcPr>
            <w:tcW w:w="564" w:type="pct"/>
            <w:tcBorders>
              <w:top w:val="nil"/>
              <w:left w:val="nil"/>
              <w:bottom w:val="single" w:sz="6" w:space="0" w:color="auto"/>
              <w:right w:val="nil"/>
            </w:tcBorders>
          </w:tcPr>
          <w:p w14:paraId="6E694651"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0.07</w:t>
            </w:r>
          </w:p>
        </w:tc>
        <w:tc>
          <w:tcPr>
            <w:tcW w:w="564" w:type="pct"/>
            <w:tcBorders>
              <w:top w:val="nil"/>
              <w:left w:val="nil"/>
              <w:bottom w:val="single" w:sz="6" w:space="0" w:color="auto"/>
              <w:right w:val="nil"/>
            </w:tcBorders>
          </w:tcPr>
          <w:p w14:paraId="57BB8D95" w14:textId="77777777" w:rsidR="000F16C4" w:rsidRPr="000F16C4" w:rsidRDefault="000F16C4" w:rsidP="000972AF">
            <w:pPr>
              <w:widowControl w:val="0"/>
              <w:autoSpaceDE w:val="0"/>
              <w:autoSpaceDN w:val="0"/>
              <w:adjustRightInd w:val="0"/>
              <w:spacing w:after="0" w:line="240" w:lineRule="auto"/>
              <w:jc w:val="center"/>
              <w:rPr>
                <w:sz w:val="22"/>
                <w:szCs w:val="24"/>
              </w:rPr>
            </w:pPr>
            <w:r w:rsidRPr="000F16C4">
              <w:rPr>
                <w:sz w:val="22"/>
                <w:szCs w:val="24"/>
              </w:rPr>
              <w:t>0.10</w:t>
            </w:r>
          </w:p>
        </w:tc>
      </w:tr>
    </w:tbl>
    <w:p w14:paraId="3BE54B0F" w14:textId="77777777" w:rsidR="000F16C4" w:rsidRPr="000F16C4" w:rsidRDefault="000F16C4" w:rsidP="000F16C4">
      <w:pPr>
        <w:widowControl w:val="0"/>
        <w:autoSpaceDE w:val="0"/>
        <w:autoSpaceDN w:val="0"/>
        <w:adjustRightInd w:val="0"/>
        <w:spacing w:after="0" w:line="240" w:lineRule="auto"/>
        <w:jc w:val="center"/>
        <w:rPr>
          <w:sz w:val="22"/>
          <w:szCs w:val="24"/>
          <w:lang w:val="en-GB"/>
        </w:rPr>
      </w:pPr>
      <w:r w:rsidRPr="000F16C4">
        <w:rPr>
          <w:sz w:val="22"/>
          <w:szCs w:val="24"/>
          <w:lang w:val="en-GB"/>
        </w:rPr>
        <w:t>Coefficients. Robust standard errors (clustered over firms) in parentheses. Left-censored at 0, right-censored at 100.</w:t>
      </w:r>
    </w:p>
    <w:p w14:paraId="667D5AAF" w14:textId="77777777" w:rsidR="000F16C4" w:rsidRPr="000F16C4" w:rsidRDefault="000F16C4" w:rsidP="000F16C4">
      <w:pPr>
        <w:widowControl w:val="0"/>
        <w:autoSpaceDE w:val="0"/>
        <w:autoSpaceDN w:val="0"/>
        <w:adjustRightInd w:val="0"/>
        <w:spacing w:after="0" w:line="240" w:lineRule="auto"/>
        <w:jc w:val="center"/>
        <w:rPr>
          <w:sz w:val="22"/>
          <w:szCs w:val="24"/>
          <w:lang w:val="en-GB"/>
        </w:rPr>
      </w:pPr>
      <w:r w:rsidRPr="000F16C4">
        <w:rPr>
          <w:sz w:val="22"/>
          <w:szCs w:val="24"/>
          <w:lang w:val="en-GB"/>
        </w:rPr>
        <w:t>*** p&lt;.001, ** p&lt;.01, * p&lt;.05, + p&lt;.10</w:t>
      </w:r>
    </w:p>
    <w:p w14:paraId="7270BD79" w14:textId="77777777" w:rsidR="000F16C4" w:rsidRDefault="000F16C4" w:rsidP="00C43B94">
      <w:pPr>
        <w:spacing w:line="480" w:lineRule="auto"/>
        <w:rPr>
          <w:lang w:val="en-GB"/>
        </w:rPr>
        <w:sectPr w:rsidR="000F16C4" w:rsidSect="000F16C4">
          <w:endnotePr>
            <w:numFmt w:val="decimal"/>
          </w:endnotePr>
          <w:pgSz w:w="16840" w:h="11900" w:orient="landscape"/>
          <w:pgMar w:top="1417" w:right="1417" w:bottom="1417" w:left="1417" w:header="708" w:footer="708" w:gutter="0"/>
          <w:cols w:space="708"/>
          <w:docGrid w:linePitch="360"/>
        </w:sectPr>
      </w:pPr>
    </w:p>
    <w:p w14:paraId="261E7CEB" w14:textId="11D70A62" w:rsidR="00D61540" w:rsidRDefault="00D61540" w:rsidP="00C43B94">
      <w:pPr>
        <w:spacing w:line="480" w:lineRule="auto"/>
        <w:rPr>
          <w:szCs w:val="24"/>
          <w:lang w:val="en-GB"/>
        </w:rPr>
      </w:pPr>
      <w:r>
        <w:rPr>
          <w:szCs w:val="24"/>
          <w:lang w:val="en-GB"/>
        </w:rPr>
        <w:lastRenderedPageBreak/>
        <w:t xml:space="preserve">The results are </w:t>
      </w:r>
      <w:r w:rsidR="00AC5AD3">
        <w:rPr>
          <w:szCs w:val="24"/>
          <w:lang w:val="en-GB"/>
        </w:rPr>
        <w:t xml:space="preserve">largely </w:t>
      </w:r>
      <w:r>
        <w:rPr>
          <w:szCs w:val="24"/>
          <w:lang w:val="en-GB"/>
        </w:rPr>
        <w:t xml:space="preserve">consistent with the findings </w:t>
      </w:r>
      <w:r w:rsidR="009603EC">
        <w:rPr>
          <w:szCs w:val="24"/>
          <w:lang w:val="en-GB"/>
        </w:rPr>
        <w:t xml:space="preserve">in </w:t>
      </w:r>
      <w:r>
        <w:rPr>
          <w:szCs w:val="24"/>
          <w:lang w:val="en-GB"/>
        </w:rPr>
        <w:t xml:space="preserve">the logit regression analyses for product innovation and new-to-market product innovation. </w:t>
      </w:r>
      <w:r w:rsidR="00AC5AD3">
        <w:rPr>
          <w:szCs w:val="24"/>
          <w:lang w:val="en-GB"/>
        </w:rPr>
        <w:t xml:space="preserve">Firms that collaborate with foreign partners earn a significantly higher share of their income from new products (around 2.5 percentage points). For new-to-market product innovation, the </w:t>
      </w:r>
      <w:r w:rsidR="00476C70">
        <w:rPr>
          <w:szCs w:val="24"/>
          <w:lang w:val="en-GB"/>
        </w:rPr>
        <w:t xml:space="preserve">coefficient </w:t>
      </w:r>
      <w:r w:rsidR="00AC5AD3">
        <w:rPr>
          <w:szCs w:val="24"/>
          <w:lang w:val="en-GB"/>
        </w:rPr>
        <w:t>is weaker and only significant at 90 percent in Models 1 and 3</w:t>
      </w:r>
      <w:r w:rsidR="00362452">
        <w:rPr>
          <w:szCs w:val="24"/>
          <w:lang w:val="en-GB"/>
        </w:rPr>
        <w:t>.</w:t>
      </w:r>
      <w:r w:rsidR="00AC5AD3">
        <w:rPr>
          <w:szCs w:val="24"/>
          <w:lang w:val="en-GB"/>
        </w:rPr>
        <w:t xml:space="preserve"> </w:t>
      </w:r>
      <w:r w:rsidR="00362452">
        <w:rPr>
          <w:szCs w:val="24"/>
          <w:lang w:val="en-GB"/>
        </w:rPr>
        <w:t>It is</w:t>
      </w:r>
      <w:r w:rsidR="00AC5AD3">
        <w:rPr>
          <w:szCs w:val="24"/>
          <w:lang w:val="en-GB"/>
        </w:rPr>
        <w:t xml:space="preserve"> not </w:t>
      </w:r>
      <w:r w:rsidR="00362452">
        <w:rPr>
          <w:szCs w:val="24"/>
          <w:lang w:val="en-GB"/>
        </w:rPr>
        <w:t>significant</w:t>
      </w:r>
      <w:r w:rsidR="00AC5AD3">
        <w:rPr>
          <w:szCs w:val="24"/>
          <w:lang w:val="en-GB"/>
        </w:rPr>
        <w:t xml:space="preserve"> in Model 2, exc</w:t>
      </w:r>
      <w:r w:rsidR="00362452">
        <w:rPr>
          <w:szCs w:val="24"/>
          <w:lang w:val="en-GB"/>
        </w:rPr>
        <w:t>ept when restricting the analysis to innovation-active firms</w:t>
      </w:r>
      <w:r w:rsidR="00AC5AD3">
        <w:rPr>
          <w:szCs w:val="24"/>
          <w:lang w:val="en-GB"/>
        </w:rPr>
        <w:t>. Regional and national collaboration</w:t>
      </w:r>
      <w:r w:rsidR="00476C70">
        <w:rPr>
          <w:szCs w:val="24"/>
          <w:lang w:val="en-GB"/>
        </w:rPr>
        <w:t xml:space="preserve"> are</w:t>
      </w:r>
      <w:r w:rsidR="00AC5AD3">
        <w:rPr>
          <w:szCs w:val="24"/>
          <w:lang w:val="en-GB"/>
        </w:rPr>
        <w:t xml:space="preserve"> still </w:t>
      </w:r>
      <w:r w:rsidR="00476C70">
        <w:rPr>
          <w:szCs w:val="24"/>
          <w:lang w:val="en-GB"/>
        </w:rPr>
        <w:t>not associated with</w:t>
      </w:r>
      <w:r w:rsidR="00AC5AD3">
        <w:rPr>
          <w:szCs w:val="24"/>
          <w:lang w:val="en-GB"/>
        </w:rPr>
        <w:t xml:space="preserve"> product innovation. Firms located in big cities also earn a higher share of their income from new products, including products new to the market.</w:t>
      </w:r>
      <w:r w:rsidR="00912E5E">
        <w:rPr>
          <w:szCs w:val="24"/>
          <w:lang w:val="en-GB"/>
        </w:rPr>
        <w:t xml:space="preserve"> However, there is no significant positive interaction between regional collaboration and location in a big city. On the contrary, the interaction term is negative and significant at 90 percent for new-to-market product innovation.</w:t>
      </w:r>
    </w:p>
    <w:p w14:paraId="239E84B1" w14:textId="77777777" w:rsidR="00D61540" w:rsidRPr="000050B8" w:rsidRDefault="00D61540" w:rsidP="00C43B94">
      <w:pPr>
        <w:spacing w:line="480" w:lineRule="auto"/>
        <w:rPr>
          <w:lang w:val="en-GB"/>
        </w:rPr>
      </w:pPr>
    </w:p>
    <w:p w14:paraId="595DF597" w14:textId="62D6507E" w:rsidR="001E2064" w:rsidRPr="00EB63F1" w:rsidRDefault="001E2064" w:rsidP="00EB63F1">
      <w:pPr>
        <w:pStyle w:val="Heading2"/>
        <w:numPr>
          <w:ilvl w:val="0"/>
          <w:numId w:val="1"/>
        </w:numPr>
        <w:spacing w:line="480" w:lineRule="auto"/>
        <w:rPr>
          <w:caps/>
          <w:lang w:val="en-GB"/>
        </w:rPr>
      </w:pPr>
      <w:r w:rsidRPr="00EB63F1">
        <w:rPr>
          <w:caps/>
          <w:lang w:val="en-GB"/>
        </w:rPr>
        <w:t>Conclusion</w:t>
      </w:r>
    </w:p>
    <w:p w14:paraId="04A38C42" w14:textId="74AF65C1" w:rsidR="001E2064" w:rsidRPr="000050B8" w:rsidRDefault="009C2A3E" w:rsidP="00C43B94">
      <w:pPr>
        <w:spacing w:line="480" w:lineRule="auto"/>
        <w:rPr>
          <w:lang w:val="en-GB"/>
        </w:rPr>
      </w:pPr>
      <w:r w:rsidRPr="000050B8">
        <w:rPr>
          <w:lang w:val="en-GB"/>
        </w:rPr>
        <w:t xml:space="preserve">Agglomeration and density have been </w:t>
      </w:r>
      <w:r w:rsidR="00765887" w:rsidRPr="000050B8">
        <w:rPr>
          <w:lang w:val="en-GB"/>
        </w:rPr>
        <w:t>generally</w:t>
      </w:r>
      <w:r w:rsidRPr="000050B8">
        <w:rPr>
          <w:lang w:val="en-GB"/>
        </w:rPr>
        <w:t xml:space="preserve"> vaunted in the literature as the factors that make </w:t>
      </w:r>
      <w:r w:rsidR="00F90339">
        <w:rPr>
          <w:lang w:val="en-GB"/>
        </w:rPr>
        <w:t>cities</w:t>
      </w:r>
      <w:r w:rsidRPr="000050B8">
        <w:rPr>
          <w:lang w:val="en-GB"/>
        </w:rPr>
        <w:t xml:space="preserve"> – and large </w:t>
      </w:r>
      <w:r w:rsidR="00F90339">
        <w:rPr>
          <w:lang w:val="en-GB"/>
        </w:rPr>
        <w:t>cities</w:t>
      </w:r>
      <w:r w:rsidR="00F90339" w:rsidRPr="000050B8">
        <w:rPr>
          <w:lang w:val="en-GB"/>
        </w:rPr>
        <w:t xml:space="preserve"> </w:t>
      </w:r>
      <w:r w:rsidRPr="000050B8">
        <w:rPr>
          <w:lang w:val="en-GB"/>
        </w:rPr>
        <w:t xml:space="preserve">in particular – much more innovative and productive (Duranton </w:t>
      </w:r>
      <w:r w:rsidR="00113910">
        <w:rPr>
          <w:lang w:val="en-GB"/>
        </w:rPr>
        <w:t>&amp;</w:t>
      </w:r>
      <w:r w:rsidR="00113910" w:rsidRPr="000050B8">
        <w:rPr>
          <w:lang w:val="en-GB"/>
        </w:rPr>
        <w:t xml:space="preserve"> </w:t>
      </w:r>
      <w:r w:rsidRPr="000050B8">
        <w:rPr>
          <w:lang w:val="en-GB"/>
        </w:rPr>
        <w:t>Puga</w:t>
      </w:r>
      <w:r w:rsidR="00113910">
        <w:rPr>
          <w:lang w:val="en-GB"/>
        </w:rPr>
        <w:t>,</w:t>
      </w:r>
      <w:r w:rsidRPr="000050B8">
        <w:rPr>
          <w:lang w:val="en-GB"/>
        </w:rPr>
        <w:t xml:space="preserve"> 2001; Glaeser</w:t>
      </w:r>
      <w:r w:rsidR="00113910">
        <w:rPr>
          <w:lang w:val="en-GB"/>
        </w:rPr>
        <w:t>,</w:t>
      </w:r>
      <w:r w:rsidRPr="000050B8">
        <w:rPr>
          <w:lang w:val="en-GB"/>
        </w:rPr>
        <w:t xml:space="preserve"> 2011). Cities are</w:t>
      </w:r>
      <w:r w:rsidR="007F3875" w:rsidRPr="000050B8">
        <w:rPr>
          <w:lang w:val="en-GB"/>
        </w:rPr>
        <w:t xml:space="preserve"> considered</w:t>
      </w:r>
      <w:r w:rsidRPr="000050B8">
        <w:rPr>
          <w:lang w:val="en-GB"/>
        </w:rPr>
        <w:t xml:space="preserve"> the powerhouses of innovation</w:t>
      </w:r>
      <w:r w:rsidR="00F90339">
        <w:rPr>
          <w:lang w:val="en-GB"/>
        </w:rPr>
        <w:t>.</w:t>
      </w:r>
      <w:r w:rsidRPr="000050B8">
        <w:rPr>
          <w:lang w:val="en-GB"/>
        </w:rPr>
        <w:t xml:space="preserve"> </w:t>
      </w:r>
      <w:r w:rsidR="00F90339">
        <w:rPr>
          <w:lang w:val="en-GB"/>
        </w:rPr>
        <w:t>F</w:t>
      </w:r>
      <w:r w:rsidRPr="000050B8">
        <w:rPr>
          <w:lang w:val="en-GB"/>
        </w:rPr>
        <w:t xml:space="preserve">irms that locate in big cities should benefit from </w:t>
      </w:r>
      <w:r w:rsidR="000732B4">
        <w:rPr>
          <w:lang w:val="en-GB"/>
        </w:rPr>
        <w:t>various</w:t>
      </w:r>
      <w:r w:rsidRPr="000050B8">
        <w:rPr>
          <w:lang w:val="en-GB"/>
        </w:rPr>
        <w:t xml:space="preserve"> positive externalities</w:t>
      </w:r>
      <w:r w:rsidR="00D01FFB" w:rsidRPr="000050B8">
        <w:rPr>
          <w:lang w:val="en-GB"/>
        </w:rPr>
        <w:t>, ranging from greater access to pools of talent to the diffusion of tacit knowledge</w:t>
      </w:r>
      <w:r w:rsidR="00765887" w:rsidRPr="000050B8">
        <w:rPr>
          <w:lang w:val="en-GB"/>
        </w:rPr>
        <w:t>,</w:t>
      </w:r>
      <w:r w:rsidR="00D01FFB" w:rsidRPr="000050B8">
        <w:rPr>
          <w:lang w:val="en-GB"/>
        </w:rPr>
        <w:t xml:space="preserve"> through countless formal and informal interactions afforded by large cities. </w:t>
      </w:r>
      <w:r w:rsidR="000732B4">
        <w:rPr>
          <w:lang w:val="en-GB"/>
        </w:rPr>
        <w:t>G</w:t>
      </w:r>
      <w:r w:rsidR="00D01FFB" w:rsidRPr="000050B8">
        <w:rPr>
          <w:lang w:val="en-GB"/>
        </w:rPr>
        <w:t xml:space="preserve">eographical proximity in dense and agglomerated environments supports the formation of networks </w:t>
      </w:r>
      <w:r w:rsidR="00765887" w:rsidRPr="000050B8">
        <w:rPr>
          <w:lang w:val="en-GB"/>
        </w:rPr>
        <w:t>that promote</w:t>
      </w:r>
      <w:r w:rsidR="001D285F" w:rsidRPr="000050B8">
        <w:rPr>
          <w:lang w:val="en-GB"/>
        </w:rPr>
        <w:t xml:space="preserve"> </w:t>
      </w:r>
      <w:r w:rsidR="00765887" w:rsidRPr="000050B8">
        <w:rPr>
          <w:lang w:val="en-GB"/>
        </w:rPr>
        <w:t>the</w:t>
      </w:r>
      <w:r w:rsidR="00D01FFB" w:rsidRPr="000050B8">
        <w:rPr>
          <w:lang w:val="en-GB"/>
        </w:rPr>
        <w:t xml:space="preserve"> picture of cities as the hubs of innovation in a more integrated world.</w:t>
      </w:r>
    </w:p>
    <w:p w14:paraId="3DE17952" w14:textId="193BECD6" w:rsidR="00D01FFB" w:rsidRPr="000050B8" w:rsidRDefault="00D01FFB" w:rsidP="00C43B94">
      <w:pPr>
        <w:spacing w:line="480" w:lineRule="auto"/>
        <w:rPr>
          <w:lang w:val="en-GB"/>
        </w:rPr>
      </w:pPr>
      <w:r w:rsidRPr="000050B8">
        <w:rPr>
          <w:lang w:val="en-GB"/>
        </w:rPr>
        <w:t xml:space="preserve">Yet, </w:t>
      </w:r>
      <w:r w:rsidR="000732B4">
        <w:rPr>
          <w:lang w:val="en-GB"/>
        </w:rPr>
        <w:t>de</w:t>
      </w:r>
      <w:r w:rsidRPr="000050B8">
        <w:rPr>
          <w:lang w:val="en-GB"/>
        </w:rPr>
        <w:t>spite all the hype</w:t>
      </w:r>
      <w:r w:rsidR="001D285F" w:rsidRPr="000050B8">
        <w:rPr>
          <w:lang w:val="en-GB"/>
        </w:rPr>
        <w:t xml:space="preserve"> about the innovativeness of large agglomerations, many recent studies are paying attention to the capacity of some firms in smaller cities and rural areas to remain innovative (Andersson et al. 2005; </w:t>
      </w:r>
      <w:proofErr w:type="spellStart"/>
      <w:r w:rsidR="001D285F" w:rsidRPr="000050B8">
        <w:rPr>
          <w:lang w:val="en-GB"/>
        </w:rPr>
        <w:t>Doloreux</w:t>
      </w:r>
      <w:proofErr w:type="spellEnd"/>
      <w:r w:rsidR="001D285F" w:rsidRPr="000050B8">
        <w:rPr>
          <w:lang w:val="en-GB"/>
        </w:rPr>
        <w:t xml:space="preserve"> </w:t>
      </w:r>
      <w:r w:rsidR="00113910">
        <w:rPr>
          <w:lang w:val="en-GB"/>
        </w:rPr>
        <w:t>&amp;</w:t>
      </w:r>
      <w:r w:rsidR="00113910" w:rsidRPr="000050B8">
        <w:rPr>
          <w:lang w:val="en-GB"/>
        </w:rPr>
        <w:t xml:space="preserve"> </w:t>
      </w:r>
      <w:r w:rsidR="001D285F" w:rsidRPr="000050B8">
        <w:rPr>
          <w:lang w:val="en-GB"/>
        </w:rPr>
        <w:t>Dionne</w:t>
      </w:r>
      <w:r w:rsidR="00113910">
        <w:rPr>
          <w:lang w:val="en-GB"/>
        </w:rPr>
        <w:t>,</w:t>
      </w:r>
      <w:r w:rsidR="001D285F" w:rsidRPr="000050B8">
        <w:rPr>
          <w:lang w:val="en-GB"/>
        </w:rPr>
        <w:t xml:space="preserve"> 2008; Fitjar </w:t>
      </w:r>
      <w:r w:rsidR="00113910">
        <w:rPr>
          <w:lang w:val="en-GB"/>
        </w:rPr>
        <w:t>&amp;</w:t>
      </w:r>
      <w:r w:rsidR="00113910" w:rsidRPr="000050B8">
        <w:rPr>
          <w:lang w:val="en-GB"/>
        </w:rPr>
        <w:t xml:space="preserve"> </w:t>
      </w:r>
      <w:r w:rsidR="001D285F" w:rsidRPr="000050B8">
        <w:rPr>
          <w:lang w:val="en-GB"/>
        </w:rPr>
        <w:t>Rodríguez-</w:t>
      </w:r>
      <w:r w:rsidR="001D285F" w:rsidRPr="000050B8">
        <w:rPr>
          <w:lang w:val="en-GB"/>
        </w:rPr>
        <w:lastRenderedPageBreak/>
        <w:t>Pose</w:t>
      </w:r>
      <w:r w:rsidR="00113910">
        <w:rPr>
          <w:lang w:val="en-GB"/>
        </w:rPr>
        <w:t>,</w:t>
      </w:r>
      <w:r w:rsidR="001D285F" w:rsidRPr="000050B8">
        <w:rPr>
          <w:lang w:val="en-GB"/>
        </w:rPr>
        <w:t xml:space="preserve"> 2011</w:t>
      </w:r>
      <w:r w:rsidR="00551BE1">
        <w:rPr>
          <w:lang w:val="en-GB"/>
        </w:rPr>
        <w:t>; Shearmur</w:t>
      </w:r>
      <w:r w:rsidR="00113910">
        <w:rPr>
          <w:lang w:val="en-GB"/>
        </w:rPr>
        <w:t>,</w:t>
      </w:r>
      <w:r w:rsidR="00551BE1">
        <w:rPr>
          <w:lang w:val="en-GB"/>
        </w:rPr>
        <w:t xml:space="preserve"> 2015; Eder</w:t>
      </w:r>
      <w:r w:rsidR="00113910">
        <w:rPr>
          <w:lang w:val="en-GB"/>
        </w:rPr>
        <w:t>,</w:t>
      </w:r>
      <w:r w:rsidR="00551BE1">
        <w:rPr>
          <w:lang w:val="en-GB"/>
        </w:rPr>
        <w:t xml:space="preserve"> </w:t>
      </w:r>
      <w:r w:rsidR="00E34566">
        <w:rPr>
          <w:lang w:val="en-GB"/>
        </w:rPr>
        <w:t>2019</w:t>
      </w:r>
      <w:r w:rsidR="001D285F" w:rsidRPr="000050B8">
        <w:rPr>
          <w:lang w:val="en-GB"/>
        </w:rPr>
        <w:t xml:space="preserve">), notwithstanding being located in places that, according to the dominant views, are far from auspicious for innovation. </w:t>
      </w:r>
      <w:r w:rsidR="00D55A13">
        <w:rPr>
          <w:lang w:val="en-GB"/>
        </w:rPr>
        <w:t>I</w:t>
      </w:r>
      <w:r w:rsidR="001D285F" w:rsidRPr="000050B8">
        <w:rPr>
          <w:lang w:val="en-GB"/>
        </w:rPr>
        <w:t>nnovative firms in smaller cities and far-flung places overcome the disa</w:t>
      </w:r>
      <w:r w:rsidR="00765887" w:rsidRPr="000050B8">
        <w:rPr>
          <w:lang w:val="en-GB"/>
        </w:rPr>
        <w:t>d</w:t>
      </w:r>
      <w:r w:rsidR="001D285F" w:rsidRPr="000050B8">
        <w:rPr>
          <w:lang w:val="en-GB"/>
        </w:rPr>
        <w:t>vantages inherent to their location by superseding geographical distance and networking</w:t>
      </w:r>
      <w:r w:rsidR="00765887" w:rsidRPr="000050B8">
        <w:rPr>
          <w:lang w:val="en-GB"/>
        </w:rPr>
        <w:t xml:space="preserve"> </w:t>
      </w:r>
      <w:r w:rsidR="001D285F" w:rsidRPr="000050B8">
        <w:rPr>
          <w:lang w:val="en-GB"/>
        </w:rPr>
        <w:t xml:space="preserve">with </w:t>
      </w:r>
      <w:r w:rsidR="00627243" w:rsidRPr="000050B8">
        <w:rPr>
          <w:lang w:val="en-GB"/>
        </w:rPr>
        <w:t xml:space="preserve">other innovative actors beyond their immediate vicinity (Grillitsch </w:t>
      </w:r>
      <w:r w:rsidR="00113910">
        <w:rPr>
          <w:lang w:val="en-GB"/>
        </w:rPr>
        <w:t>&amp;</w:t>
      </w:r>
      <w:r w:rsidR="00113910" w:rsidRPr="000050B8">
        <w:rPr>
          <w:lang w:val="en-GB"/>
        </w:rPr>
        <w:t xml:space="preserve"> </w:t>
      </w:r>
      <w:r w:rsidR="00627243" w:rsidRPr="000050B8">
        <w:rPr>
          <w:lang w:val="en-GB"/>
        </w:rPr>
        <w:t>Nilsson</w:t>
      </w:r>
      <w:r w:rsidR="00113910">
        <w:rPr>
          <w:lang w:val="en-GB"/>
        </w:rPr>
        <w:t>,</w:t>
      </w:r>
      <w:r w:rsidR="00627243" w:rsidRPr="000050B8">
        <w:rPr>
          <w:lang w:val="en-GB"/>
        </w:rPr>
        <w:t xml:space="preserve"> 2015).</w:t>
      </w:r>
    </w:p>
    <w:p w14:paraId="03D93FA7" w14:textId="38C1C99E" w:rsidR="00627243" w:rsidRPr="000050B8" w:rsidRDefault="00627243" w:rsidP="00C43B94">
      <w:pPr>
        <w:spacing w:line="480" w:lineRule="auto"/>
        <w:rPr>
          <w:lang w:val="en-GB"/>
        </w:rPr>
      </w:pPr>
      <w:r w:rsidRPr="000050B8">
        <w:rPr>
          <w:lang w:val="en-GB"/>
        </w:rPr>
        <w:t xml:space="preserve">This paper has delved into this debate by examining, using a large sample of Norwegian firms </w:t>
      </w:r>
      <w:r w:rsidR="00050414" w:rsidRPr="000050B8">
        <w:rPr>
          <w:lang w:val="en-GB"/>
        </w:rPr>
        <w:t>for</w:t>
      </w:r>
      <w:r w:rsidRPr="000050B8">
        <w:rPr>
          <w:lang w:val="en-GB"/>
        </w:rPr>
        <w:t xml:space="preserve"> the period between 2006 and 2010, whether local collaboration and </w:t>
      </w:r>
      <w:r w:rsidR="00D55A13">
        <w:rPr>
          <w:lang w:val="en-GB"/>
        </w:rPr>
        <w:t>urban location</w:t>
      </w:r>
      <w:r w:rsidRPr="000050B8">
        <w:rPr>
          <w:lang w:val="en-GB"/>
        </w:rPr>
        <w:t xml:space="preserve"> </w:t>
      </w:r>
      <w:r w:rsidR="00C8316A">
        <w:rPr>
          <w:lang w:val="en-GB"/>
        </w:rPr>
        <w:t>are</w:t>
      </w:r>
      <w:r w:rsidR="00C8316A" w:rsidRPr="000050B8">
        <w:rPr>
          <w:lang w:val="en-GB"/>
        </w:rPr>
        <w:t xml:space="preserve"> </w:t>
      </w:r>
      <w:r w:rsidRPr="000050B8">
        <w:rPr>
          <w:lang w:val="en-GB"/>
        </w:rPr>
        <w:t>indeed</w:t>
      </w:r>
      <w:r w:rsidR="00C8316A">
        <w:rPr>
          <w:lang w:val="en-GB"/>
        </w:rPr>
        <w:t xml:space="preserve"> associated with</w:t>
      </w:r>
      <w:r w:rsidRPr="000050B8">
        <w:rPr>
          <w:lang w:val="en-GB"/>
        </w:rPr>
        <w:t xml:space="preserve"> greater levels of innovation, once other factors are controlled for</w:t>
      </w:r>
      <w:r w:rsidR="00050414" w:rsidRPr="000050B8">
        <w:rPr>
          <w:lang w:val="en-GB"/>
        </w:rPr>
        <w:t>,</w:t>
      </w:r>
      <w:r w:rsidRPr="000050B8">
        <w:rPr>
          <w:lang w:val="en-GB"/>
        </w:rPr>
        <w:t xml:space="preserve"> and, if this is the case, </w:t>
      </w:r>
      <w:r w:rsidR="00050414" w:rsidRPr="000050B8">
        <w:rPr>
          <w:lang w:val="en-GB"/>
        </w:rPr>
        <w:t xml:space="preserve">whether </w:t>
      </w:r>
      <w:r w:rsidR="00D55A13">
        <w:rPr>
          <w:lang w:val="en-GB"/>
        </w:rPr>
        <w:t>local</w:t>
      </w:r>
      <w:r w:rsidRPr="000050B8">
        <w:rPr>
          <w:lang w:val="en-GB"/>
        </w:rPr>
        <w:t xml:space="preserve"> collaboration is more likely to yield innovation in larger cities.</w:t>
      </w:r>
    </w:p>
    <w:p w14:paraId="5374C2CF" w14:textId="70FDD850" w:rsidR="00627243" w:rsidRPr="000050B8" w:rsidRDefault="00627243" w:rsidP="00C43B94">
      <w:pPr>
        <w:spacing w:line="480" w:lineRule="auto"/>
        <w:rPr>
          <w:lang w:val="en-GB"/>
        </w:rPr>
      </w:pPr>
      <w:r w:rsidRPr="000050B8">
        <w:rPr>
          <w:lang w:val="en-GB"/>
        </w:rPr>
        <w:t xml:space="preserve">The results </w:t>
      </w:r>
      <w:r w:rsidR="00C8316A">
        <w:rPr>
          <w:lang w:val="en-GB"/>
        </w:rPr>
        <w:t>suggest</w:t>
      </w:r>
      <w:r w:rsidRPr="000050B8">
        <w:rPr>
          <w:lang w:val="en-GB"/>
        </w:rPr>
        <w:t xml:space="preserve"> that </w:t>
      </w:r>
      <w:r w:rsidR="005A4202" w:rsidRPr="000050B8">
        <w:rPr>
          <w:lang w:val="en-GB"/>
        </w:rPr>
        <w:t>geographical distance matters</w:t>
      </w:r>
      <w:r w:rsidR="00050414" w:rsidRPr="000050B8">
        <w:rPr>
          <w:lang w:val="en-GB"/>
        </w:rPr>
        <w:t>, but</w:t>
      </w:r>
      <w:r w:rsidR="005A4202" w:rsidRPr="000050B8">
        <w:rPr>
          <w:lang w:val="en-GB"/>
        </w:rPr>
        <w:t xml:space="preserve"> only for certain</w:t>
      </w:r>
      <w:r w:rsidR="007F3875" w:rsidRPr="000050B8">
        <w:rPr>
          <w:lang w:val="en-GB"/>
        </w:rPr>
        <w:t xml:space="preserve"> </w:t>
      </w:r>
      <w:r w:rsidR="005A4202" w:rsidRPr="000050B8">
        <w:rPr>
          <w:lang w:val="en-GB"/>
        </w:rPr>
        <w:t xml:space="preserve">types of innovation in Norway. </w:t>
      </w:r>
      <w:r w:rsidR="0045118E" w:rsidRPr="000050B8">
        <w:rPr>
          <w:lang w:val="en-GB"/>
        </w:rPr>
        <w:t>O</w:t>
      </w:r>
      <w:r w:rsidR="005A4202" w:rsidRPr="000050B8">
        <w:rPr>
          <w:lang w:val="en-GB"/>
        </w:rPr>
        <w:t xml:space="preserve">rganisational innovation </w:t>
      </w:r>
      <w:r w:rsidR="0045118E" w:rsidRPr="000050B8">
        <w:rPr>
          <w:lang w:val="en-GB"/>
        </w:rPr>
        <w:t xml:space="preserve">is </w:t>
      </w:r>
      <w:r w:rsidR="005A4202" w:rsidRPr="000050B8">
        <w:rPr>
          <w:lang w:val="en-GB"/>
        </w:rPr>
        <w:t xml:space="preserve">robustly associated with the number of different types of partners a firm engages with in its immediate geographical milieu. Yet geographical proximity does not make a difference for the generation of </w:t>
      </w:r>
      <w:r w:rsidR="007F3875" w:rsidRPr="000050B8">
        <w:rPr>
          <w:lang w:val="en-GB"/>
        </w:rPr>
        <w:t xml:space="preserve">more </w:t>
      </w:r>
      <w:r w:rsidR="002F6AAA">
        <w:rPr>
          <w:lang w:val="en-GB"/>
        </w:rPr>
        <w:t>market-oriented</w:t>
      </w:r>
      <w:r w:rsidR="002F6AAA" w:rsidRPr="000050B8">
        <w:rPr>
          <w:lang w:val="en-GB"/>
        </w:rPr>
        <w:t xml:space="preserve"> </w:t>
      </w:r>
      <w:r w:rsidR="007F3875" w:rsidRPr="000050B8">
        <w:rPr>
          <w:lang w:val="en-GB"/>
        </w:rPr>
        <w:t xml:space="preserve">types of innovation, such as </w:t>
      </w:r>
      <w:r w:rsidRPr="000050B8">
        <w:rPr>
          <w:lang w:val="en-GB"/>
        </w:rPr>
        <w:t>product and new-to-market product innovation</w:t>
      </w:r>
      <w:r w:rsidR="007F3875" w:rsidRPr="000050B8">
        <w:rPr>
          <w:lang w:val="en-GB"/>
        </w:rPr>
        <w:t>,</w:t>
      </w:r>
      <w:r w:rsidRPr="000050B8">
        <w:rPr>
          <w:lang w:val="en-GB"/>
        </w:rPr>
        <w:t xml:space="preserve"> or marketing innovation.</w:t>
      </w:r>
      <w:r w:rsidR="005A4202" w:rsidRPr="000050B8">
        <w:rPr>
          <w:lang w:val="en-GB"/>
        </w:rPr>
        <w:t xml:space="preserve"> Firms that engage with other economic actors in their immediate vicinity are not better off in terms of innovative capacity. </w:t>
      </w:r>
      <w:r w:rsidRPr="000050B8">
        <w:rPr>
          <w:lang w:val="en-GB"/>
        </w:rPr>
        <w:t xml:space="preserve">For these types of innovation, long-distance collaboration instead </w:t>
      </w:r>
      <w:r w:rsidR="003C0031">
        <w:rPr>
          <w:lang w:val="en-GB"/>
        </w:rPr>
        <w:t>seems to be</w:t>
      </w:r>
      <w:r w:rsidRPr="000050B8">
        <w:rPr>
          <w:lang w:val="en-GB"/>
        </w:rPr>
        <w:t xml:space="preserve"> the main driver of </w:t>
      </w:r>
      <w:r w:rsidR="004E6EE0" w:rsidRPr="000050B8">
        <w:rPr>
          <w:lang w:val="en-GB"/>
        </w:rPr>
        <w:t>change</w:t>
      </w:r>
      <w:r w:rsidRPr="000050B8">
        <w:rPr>
          <w:lang w:val="en-GB"/>
        </w:rPr>
        <w:t>.</w:t>
      </w:r>
      <w:r w:rsidR="005A4202" w:rsidRPr="000050B8">
        <w:rPr>
          <w:lang w:val="en-GB"/>
        </w:rPr>
        <w:t xml:space="preserve"> Norwegian firms capable of introducing product and marketing innovations in a more integrated economic environment are those that have reached out to the rest of the world in order to target the specific knowledge </w:t>
      </w:r>
      <w:r w:rsidR="004E6EE0" w:rsidRPr="000050B8">
        <w:rPr>
          <w:lang w:val="en-GB"/>
        </w:rPr>
        <w:t xml:space="preserve">needed </w:t>
      </w:r>
      <w:r w:rsidR="005A4202" w:rsidRPr="000050B8">
        <w:rPr>
          <w:lang w:val="en-GB"/>
        </w:rPr>
        <w:t xml:space="preserve">to make them more innovative </w:t>
      </w:r>
    </w:p>
    <w:p w14:paraId="23ECD62B" w14:textId="423DC33D" w:rsidR="00AB789B" w:rsidRPr="000050B8" w:rsidRDefault="004E6EE0" w:rsidP="00627243">
      <w:pPr>
        <w:spacing w:line="480" w:lineRule="auto"/>
        <w:rPr>
          <w:lang w:val="en-GB"/>
        </w:rPr>
      </w:pPr>
      <w:r w:rsidRPr="000050B8">
        <w:rPr>
          <w:lang w:val="en-GB"/>
        </w:rPr>
        <w:t xml:space="preserve">Moreover, although firms in urban locations tend to be more innovative in product and </w:t>
      </w:r>
      <w:r w:rsidR="00627243" w:rsidRPr="000050B8">
        <w:rPr>
          <w:lang w:val="en-GB"/>
        </w:rPr>
        <w:t>new-to-market product innovation</w:t>
      </w:r>
      <w:r w:rsidRPr="000050B8">
        <w:rPr>
          <w:lang w:val="en-GB"/>
        </w:rPr>
        <w:t>, th</w:t>
      </w:r>
      <w:r w:rsidR="00050414" w:rsidRPr="000050B8">
        <w:rPr>
          <w:lang w:val="en-GB"/>
        </w:rPr>
        <w:t>is</w:t>
      </w:r>
      <w:r w:rsidRPr="000050B8">
        <w:rPr>
          <w:lang w:val="en-GB"/>
        </w:rPr>
        <w:t xml:space="preserve"> is </w:t>
      </w:r>
      <w:r w:rsidR="00D55A13">
        <w:rPr>
          <w:lang w:val="en-GB"/>
        </w:rPr>
        <w:t>not due to any</w:t>
      </w:r>
      <w:r w:rsidRPr="000050B8">
        <w:rPr>
          <w:lang w:val="en-GB"/>
        </w:rPr>
        <w:t xml:space="preserve"> greater </w:t>
      </w:r>
      <w:r w:rsidR="00204CED" w:rsidRPr="000050B8">
        <w:rPr>
          <w:lang w:val="en-GB"/>
        </w:rPr>
        <w:t xml:space="preserve">rewards from </w:t>
      </w:r>
      <w:r w:rsidRPr="000050B8">
        <w:rPr>
          <w:lang w:val="en-GB"/>
        </w:rPr>
        <w:t>reach</w:t>
      </w:r>
      <w:r w:rsidR="00204CED" w:rsidRPr="000050B8">
        <w:rPr>
          <w:lang w:val="en-GB"/>
        </w:rPr>
        <w:t>ing</w:t>
      </w:r>
      <w:r w:rsidRPr="000050B8">
        <w:rPr>
          <w:lang w:val="en-GB"/>
        </w:rPr>
        <w:t xml:space="preserve"> out to local partners</w:t>
      </w:r>
      <w:r w:rsidR="00050414" w:rsidRPr="000050B8">
        <w:rPr>
          <w:lang w:val="en-GB"/>
        </w:rPr>
        <w:t xml:space="preserve"> in urban environments</w:t>
      </w:r>
      <w:r w:rsidRPr="000050B8">
        <w:rPr>
          <w:lang w:val="en-GB"/>
        </w:rPr>
        <w:t xml:space="preserve">. The </w:t>
      </w:r>
      <w:r w:rsidR="00204CED" w:rsidRPr="000050B8">
        <w:rPr>
          <w:lang w:val="en-GB"/>
        </w:rPr>
        <w:t>benefits of local collaboration</w:t>
      </w:r>
      <w:r w:rsidRPr="000050B8">
        <w:rPr>
          <w:lang w:val="en-GB"/>
        </w:rPr>
        <w:t xml:space="preserve"> in Norway </w:t>
      </w:r>
      <w:r w:rsidR="00E71BA0">
        <w:rPr>
          <w:lang w:val="en-GB"/>
        </w:rPr>
        <w:t>are</w:t>
      </w:r>
      <w:r w:rsidRPr="000050B8">
        <w:rPr>
          <w:lang w:val="en-GB"/>
        </w:rPr>
        <w:t xml:space="preserve"> </w:t>
      </w:r>
      <w:r w:rsidR="00D55A13">
        <w:rPr>
          <w:lang w:val="en-GB"/>
        </w:rPr>
        <w:t>not</w:t>
      </w:r>
      <w:r w:rsidRPr="000050B8">
        <w:rPr>
          <w:lang w:val="en-GB"/>
        </w:rPr>
        <w:t xml:space="preserve"> </w:t>
      </w:r>
      <w:r w:rsidR="00050414" w:rsidRPr="000050B8">
        <w:rPr>
          <w:lang w:val="en-GB"/>
        </w:rPr>
        <w:t xml:space="preserve">related </w:t>
      </w:r>
      <w:r w:rsidRPr="000050B8">
        <w:rPr>
          <w:lang w:val="en-GB"/>
        </w:rPr>
        <w:t xml:space="preserve">to whether the firm is located in Oslo, </w:t>
      </w:r>
      <w:r w:rsidR="00AB789B" w:rsidRPr="000050B8">
        <w:rPr>
          <w:lang w:val="en-GB"/>
        </w:rPr>
        <w:t>in a medium or small city-region, or in a rural area.</w:t>
      </w:r>
    </w:p>
    <w:p w14:paraId="50DA025A" w14:textId="6D53E9E3" w:rsidR="0074605A" w:rsidRPr="000050B8" w:rsidRDefault="00AB789B" w:rsidP="00C43B94">
      <w:pPr>
        <w:spacing w:line="480" w:lineRule="auto"/>
        <w:rPr>
          <w:lang w:val="en-GB"/>
        </w:rPr>
      </w:pPr>
      <w:r w:rsidRPr="000050B8">
        <w:rPr>
          <w:lang w:val="en-GB"/>
        </w:rPr>
        <w:lastRenderedPageBreak/>
        <w:t>These results – robust to different specifications of the model – provide considerable food for thought about how geography, agglomeration, and density shape innovation. In Norway</w:t>
      </w:r>
      <w:r w:rsidR="004A70FB" w:rsidRPr="000050B8">
        <w:rPr>
          <w:lang w:val="en-GB"/>
        </w:rPr>
        <w:t>,</w:t>
      </w:r>
      <w:r w:rsidRPr="000050B8">
        <w:rPr>
          <w:lang w:val="en-GB"/>
        </w:rPr>
        <w:t xml:space="preserve"> there is virtually no evidence that</w:t>
      </w:r>
      <w:r w:rsidR="00DF7761" w:rsidRPr="000050B8">
        <w:rPr>
          <w:lang w:val="en-GB"/>
        </w:rPr>
        <w:t xml:space="preserve"> its</w:t>
      </w:r>
      <w:r w:rsidRPr="000050B8">
        <w:rPr>
          <w:lang w:val="en-GB"/>
        </w:rPr>
        <w:t xml:space="preserve"> </w:t>
      </w:r>
      <w:r w:rsidR="00DF7761" w:rsidRPr="000050B8">
        <w:rPr>
          <w:lang w:val="en-GB"/>
        </w:rPr>
        <w:t xml:space="preserve">larger </w:t>
      </w:r>
      <w:r w:rsidRPr="000050B8">
        <w:rPr>
          <w:lang w:val="en-GB"/>
        </w:rPr>
        <w:t>cities are drivers of innovation. Innovation is certainly linked to networking and reaching out to partners, but for a large number of innovations</w:t>
      </w:r>
      <w:r w:rsidR="008C47DE" w:rsidRPr="000050B8">
        <w:rPr>
          <w:lang w:val="en-GB"/>
        </w:rPr>
        <w:t>,</w:t>
      </w:r>
      <w:r w:rsidRPr="000050B8">
        <w:rPr>
          <w:lang w:val="en-GB"/>
        </w:rPr>
        <w:t xml:space="preserve"> these partners do not share the same </w:t>
      </w:r>
      <w:r w:rsidR="00670C30" w:rsidRPr="000050B8">
        <w:rPr>
          <w:lang w:val="en-GB"/>
        </w:rPr>
        <w:t>regional innovation system</w:t>
      </w:r>
      <w:r w:rsidRPr="000050B8">
        <w:rPr>
          <w:lang w:val="en-GB"/>
        </w:rPr>
        <w:t>. They are located at considerable geographical distance and mostly outside Norway. Hence, although it may be the case that agglomeration and density may facilitate interaction, this does not seem to be the</w:t>
      </w:r>
      <w:r w:rsidR="008C47DE" w:rsidRPr="000050B8">
        <w:rPr>
          <w:lang w:val="en-GB"/>
        </w:rPr>
        <w:t xml:space="preserve"> type of</w:t>
      </w:r>
      <w:r w:rsidRPr="000050B8">
        <w:rPr>
          <w:lang w:val="en-GB"/>
        </w:rPr>
        <w:t xml:space="preserve"> interaction driving innovation.</w:t>
      </w:r>
    </w:p>
    <w:p w14:paraId="1167F19F" w14:textId="5677D081" w:rsidR="00426573" w:rsidRDefault="00AB789B" w:rsidP="00C43B94">
      <w:pPr>
        <w:spacing w:line="480" w:lineRule="auto"/>
        <w:rPr>
          <w:lang w:val="en-GB"/>
        </w:rPr>
      </w:pPr>
      <w:r w:rsidRPr="000050B8">
        <w:rPr>
          <w:lang w:val="en-GB"/>
        </w:rPr>
        <w:t>This is, of course, a study that concerns only Norway</w:t>
      </w:r>
      <w:r w:rsidR="00072C80">
        <w:rPr>
          <w:lang w:val="en-GB"/>
        </w:rPr>
        <w:t>, raising questions about external validity</w:t>
      </w:r>
      <w:r w:rsidRPr="000050B8">
        <w:rPr>
          <w:lang w:val="en-GB"/>
        </w:rPr>
        <w:t>. Norway is in many ways an exceptional case: rich, innovative, remote, and with cities that, even in the case of Oslo, may be to</w:t>
      </w:r>
      <w:r w:rsidR="006203FE" w:rsidRPr="000050B8">
        <w:rPr>
          <w:lang w:val="en-GB"/>
        </w:rPr>
        <w:t>o</w:t>
      </w:r>
      <w:r w:rsidRPr="000050B8">
        <w:rPr>
          <w:lang w:val="en-GB"/>
        </w:rPr>
        <w:t xml:space="preserve"> small to benefit from the full range of externalities associated with agglomeration and densities.</w:t>
      </w:r>
      <w:r w:rsidR="00C437E1">
        <w:rPr>
          <w:lang w:val="en-GB"/>
        </w:rPr>
        <w:t xml:space="preserve"> </w:t>
      </w:r>
      <w:r w:rsidR="00D604A6">
        <w:rPr>
          <w:lang w:val="en-GB"/>
        </w:rPr>
        <w:t xml:space="preserve">This makes it hard to assess the extent to which the results can be generalised to other contexts. </w:t>
      </w:r>
      <w:r w:rsidR="00C437E1">
        <w:rPr>
          <w:lang w:val="en-GB"/>
        </w:rPr>
        <w:t xml:space="preserve">Moreover, the Norwegian CIS survey concentrates on measuring formal collaborations. It does not register more informal linkages and knowledge sharing and flows that may play a non-negligible role </w:t>
      </w:r>
      <w:r w:rsidR="00426573">
        <w:rPr>
          <w:lang w:val="en-GB"/>
        </w:rPr>
        <w:t xml:space="preserve">in </w:t>
      </w:r>
      <w:r w:rsidR="00C437E1">
        <w:rPr>
          <w:lang w:val="en-GB"/>
        </w:rPr>
        <w:t>firm-level innovation.</w:t>
      </w:r>
      <w:r w:rsidRPr="00C437E1">
        <w:rPr>
          <w:lang w:val="en-GB"/>
        </w:rPr>
        <w:t xml:space="preserve"> </w:t>
      </w:r>
      <w:r w:rsidR="002F6AAA">
        <w:rPr>
          <w:lang w:val="en-GB"/>
        </w:rPr>
        <w:t xml:space="preserve">It also does not consider the role of </w:t>
      </w:r>
      <w:proofErr w:type="spellStart"/>
      <w:r w:rsidR="001551AF">
        <w:rPr>
          <w:lang w:val="en-GB"/>
        </w:rPr>
        <w:t>labor</w:t>
      </w:r>
      <w:proofErr w:type="spellEnd"/>
      <w:r w:rsidR="002F6AAA">
        <w:rPr>
          <w:lang w:val="en-GB"/>
        </w:rPr>
        <w:t xml:space="preserve"> mobility or other mechanisms of knowledge exchange in urban areas. </w:t>
      </w:r>
      <w:r w:rsidRPr="00C437E1">
        <w:rPr>
          <w:lang w:val="en-GB"/>
        </w:rPr>
        <w:t xml:space="preserve">However, </w:t>
      </w:r>
      <w:r w:rsidR="00D077CB" w:rsidRPr="00C437E1">
        <w:rPr>
          <w:lang w:val="en-GB"/>
        </w:rPr>
        <w:t>if the literature on cities want</w:t>
      </w:r>
      <w:r w:rsidR="001D20CC" w:rsidRPr="00C437E1">
        <w:rPr>
          <w:lang w:val="en-GB"/>
        </w:rPr>
        <w:t>s</w:t>
      </w:r>
      <w:r w:rsidR="00D077CB" w:rsidRPr="00C437E1">
        <w:rPr>
          <w:lang w:val="en-GB"/>
        </w:rPr>
        <w:t xml:space="preserve"> to establish the general point that innovation mostly takes place in urban areas, the innovation levels of Norw</w:t>
      </w:r>
      <w:r w:rsidR="00E71BA0">
        <w:rPr>
          <w:lang w:val="en-GB"/>
        </w:rPr>
        <w:t>egian firms</w:t>
      </w:r>
      <w:r w:rsidR="00D077CB" w:rsidRPr="00C437E1">
        <w:rPr>
          <w:lang w:val="en-GB"/>
        </w:rPr>
        <w:t xml:space="preserve"> </w:t>
      </w:r>
      <w:r w:rsidR="0067223F" w:rsidRPr="00C437E1">
        <w:rPr>
          <w:lang w:val="en-GB"/>
        </w:rPr>
        <w:t>pose a puzzle in which this literature should be interested</w:t>
      </w:r>
      <w:r w:rsidR="00D077CB" w:rsidRPr="00C437E1">
        <w:rPr>
          <w:lang w:val="en-GB"/>
        </w:rPr>
        <w:t xml:space="preserve">. </w:t>
      </w:r>
    </w:p>
    <w:p w14:paraId="64BB8F17" w14:textId="777088BF" w:rsidR="0074605A" w:rsidRDefault="0074605A" w:rsidP="00C43B94">
      <w:pPr>
        <w:spacing w:line="480" w:lineRule="auto"/>
        <w:rPr>
          <w:lang w:val="en-GB"/>
        </w:rPr>
      </w:pPr>
      <w:r>
        <w:rPr>
          <w:lang w:val="en-GB"/>
        </w:rPr>
        <w:t>Furthermore, although we use panel data, endogeneity issues</w:t>
      </w:r>
      <w:r w:rsidR="009A6476">
        <w:rPr>
          <w:lang w:val="en-GB"/>
        </w:rPr>
        <w:t xml:space="preserve"> may</w:t>
      </w:r>
      <w:r>
        <w:rPr>
          <w:lang w:val="en-GB"/>
        </w:rPr>
        <w:t xml:space="preserve"> remain. The choice of collaboration partners </w:t>
      </w:r>
      <w:r w:rsidR="009A6476">
        <w:rPr>
          <w:lang w:val="en-GB"/>
        </w:rPr>
        <w:t>can be</w:t>
      </w:r>
      <w:r>
        <w:rPr>
          <w:lang w:val="en-GB"/>
        </w:rPr>
        <w:t xml:space="preserve"> endogenous to the innovation process, as more innovative firms may be more willing to invest in external relationships and also have a larger choice of partners willing to work with them. Location </w:t>
      </w:r>
      <w:r w:rsidR="009A6476">
        <w:rPr>
          <w:lang w:val="en-GB"/>
        </w:rPr>
        <w:t>could also be</w:t>
      </w:r>
      <w:r>
        <w:rPr>
          <w:lang w:val="en-GB"/>
        </w:rPr>
        <w:t xml:space="preserve"> endogenous, due to firm sorting across regions. The same goes for several of the control variables, and leaving out e.g. R&amp;D investments or other controls has an impact on the results. Finally, the innovation outputs of </w:t>
      </w:r>
      <w:r>
        <w:rPr>
          <w:lang w:val="en-GB"/>
        </w:rPr>
        <w:lastRenderedPageBreak/>
        <w:t xml:space="preserve">firms are to some extent simultaneously determined, as product innovation may e.g. create a need for new processes or new marketing methods. </w:t>
      </w:r>
      <w:r w:rsidR="009A6476">
        <w:rPr>
          <w:lang w:val="en-GB"/>
        </w:rPr>
        <w:t>Future</w:t>
      </w:r>
      <w:r>
        <w:rPr>
          <w:lang w:val="en-GB"/>
        </w:rPr>
        <w:t xml:space="preserve"> research </w:t>
      </w:r>
      <w:r w:rsidR="009A6476">
        <w:rPr>
          <w:lang w:val="en-GB"/>
        </w:rPr>
        <w:t>may want to consider</w:t>
      </w:r>
      <w:r>
        <w:rPr>
          <w:lang w:val="en-GB"/>
        </w:rPr>
        <w:t xml:space="preserve"> these </w:t>
      </w:r>
      <w:r w:rsidR="00261E3C">
        <w:rPr>
          <w:lang w:val="en-GB"/>
        </w:rPr>
        <w:t>issues</w:t>
      </w:r>
      <w:r w:rsidR="009A6476">
        <w:rPr>
          <w:lang w:val="en-GB"/>
        </w:rPr>
        <w:t xml:space="preserve"> in greater depth</w:t>
      </w:r>
      <w:r w:rsidR="00261E3C">
        <w:rPr>
          <w:lang w:val="en-GB"/>
        </w:rPr>
        <w:t>.</w:t>
      </w:r>
    </w:p>
    <w:p w14:paraId="7F706900" w14:textId="4D86BA6E" w:rsidR="00AB789B" w:rsidRPr="000050B8" w:rsidRDefault="00D077CB" w:rsidP="00C43B94">
      <w:pPr>
        <w:spacing w:line="480" w:lineRule="auto"/>
        <w:rPr>
          <w:lang w:val="en-GB"/>
        </w:rPr>
      </w:pPr>
      <w:r w:rsidRPr="00C437E1">
        <w:rPr>
          <w:lang w:val="en-GB"/>
        </w:rPr>
        <w:t xml:space="preserve">The </w:t>
      </w:r>
      <w:r w:rsidR="008C3079" w:rsidRPr="00C437E1">
        <w:rPr>
          <w:lang w:val="en-GB"/>
        </w:rPr>
        <w:t>innovation patterns of firms in Norway challenge a series of</w:t>
      </w:r>
      <w:r w:rsidR="00AB789B" w:rsidRPr="00C437E1">
        <w:rPr>
          <w:lang w:val="en-GB"/>
        </w:rPr>
        <w:t xml:space="preserve"> </w:t>
      </w:r>
      <w:r w:rsidR="00554312" w:rsidRPr="00C437E1">
        <w:rPr>
          <w:lang w:val="en-GB"/>
        </w:rPr>
        <w:t xml:space="preserve">well-established views about which </w:t>
      </w:r>
      <w:r w:rsidR="00050414" w:rsidRPr="00C437E1">
        <w:rPr>
          <w:lang w:val="en-GB"/>
        </w:rPr>
        <w:t>are</w:t>
      </w:r>
      <w:r w:rsidR="00554312" w:rsidRPr="00C437E1">
        <w:rPr>
          <w:lang w:val="en-GB"/>
        </w:rPr>
        <w:t xml:space="preserve"> the main sources of firm-level innovation, about how innovation is generated, and about the capacity of cities to create highly favourable environments for the development and absorption of new innovations. The results thus send a request for more research into how connectivity at firm level is generated and which type of connectivity is more conducive to innovation. Cities have been</w:t>
      </w:r>
      <w:r w:rsidR="00050414" w:rsidRPr="00C437E1">
        <w:rPr>
          <w:lang w:val="en-GB"/>
        </w:rPr>
        <w:t xml:space="preserve"> too</w:t>
      </w:r>
      <w:r w:rsidR="00554312" w:rsidRPr="00C437E1">
        <w:rPr>
          <w:lang w:val="en-GB"/>
        </w:rPr>
        <w:t xml:space="preserve"> readily accepted as the </w:t>
      </w:r>
      <w:r w:rsidR="00050414" w:rsidRPr="00C437E1">
        <w:rPr>
          <w:lang w:val="en-GB"/>
        </w:rPr>
        <w:t>right</w:t>
      </w:r>
      <w:r w:rsidR="00554312" w:rsidRPr="00C437E1">
        <w:rPr>
          <w:lang w:val="en-GB"/>
        </w:rPr>
        <w:t xml:space="preserve"> </w:t>
      </w:r>
      <w:r w:rsidR="00670C30" w:rsidRPr="00C437E1">
        <w:rPr>
          <w:lang w:val="en-GB"/>
        </w:rPr>
        <w:t xml:space="preserve">location </w:t>
      </w:r>
      <w:r w:rsidR="00554312" w:rsidRPr="00C437E1">
        <w:rPr>
          <w:lang w:val="en-GB"/>
        </w:rPr>
        <w:t xml:space="preserve">for innovation. However, our results and an increasing number of others imply that this tenet may require a second look, as innovation does not </w:t>
      </w:r>
      <w:r w:rsidR="00F90339" w:rsidRPr="00C437E1">
        <w:rPr>
          <w:lang w:val="en-GB"/>
        </w:rPr>
        <w:t xml:space="preserve">always </w:t>
      </w:r>
      <w:r w:rsidR="00554312" w:rsidRPr="00C437E1">
        <w:rPr>
          <w:lang w:val="en-GB"/>
        </w:rPr>
        <w:t xml:space="preserve">seem to be related to where firms locate, but </w:t>
      </w:r>
      <w:r w:rsidR="005A2B79" w:rsidRPr="00C437E1">
        <w:rPr>
          <w:lang w:val="en-GB"/>
        </w:rPr>
        <w:t xml:space="preserve">more so </w:t>
      </w:r>
      <w:r w:rsidR="00554312" w:rsidRPr="00C437E1">
        <w:rPr>
          <w:lang w:val="en-GB"/>
        </w:rPr>
        <w:t>to what firms do. Although cities may be more innovative because they contain more firms</w:t>
      </w:r>
      <w:r w:rsidR="00471165" w:rsidRPr="00C437E1">
        <w:rPr>
          <w:lang w:val="en-GB"/>
        </w:rPr>
        <w:t xml:space="preserve"> and more innovative fir</w:t>
      </w:r>
      <w:r w:rsidR="00471165" w:rsidRPr="000050B8">
        <w:rPr>
          <w:lang w:val="en-GB"/>
        </w:rPr>
        <w:t>ms</w:t>
      </w:r>
      <w:r w:rsidR="00554312" w:rsidRPr="000050B8">
        <w:rPr>
          <w:lang w:val="en-GB"/>
        </w:rPr>
        <w:t xml:space="preserve">, in the case of Norway there seems to be no evidence that </w:t>
      </w:r>
      <w:r w:rsidR="00471165" w:rsidRPr="000050B8">
        <w:rPr>
          <w:lang w:val="en-GB"/>
        </w:rPr>
        <w:t>the average firm</w:t>
      </w:r>
      <w:r w:rsidR="00554312" w:rsidRPr="000050B8">
        <w:rPr>
          <w:lang w:val="en-GB"/>
        </w:rPr>
        <w:t xml:space="preserve"> in </w:t>
      </w:r>
      <w:r w:rsidR="00471165" w:rsidRPr="000050B8">
        <w:rPr>
          <w:lang w:val="en-GB"/>
        </w:rPr>
        <w:t xml:space="preserve">a </w:t>
      </w:r>
      <w:r w:rsidR="005A3630" w:rsidRPr="000050B8">
        <w:rPr>
          <w:lang w:val="en-GB"/>
        </w:rPr>
        <w:t xml:space="preserve">large </w:t>
      </w:r>
      <w:r w:rsidR="00554312" w:rsidRPr="000050B8">
        <w:rPr>
          <w:lang w:val="en-GB"/>
        </w:rPr>
        <w:t>cit</w:t>
      </w:r>
      <w:r w:rsidR="00471165" w:rsidRPr="000050B8">
        <w:rPr>
          <w:lang w:val="en-GB"/>
        </w:rPr>
        <w:t>y</w:t>
      </w:r>
      <w:r w:rsidR="00554312" w:rsidRPr="000050B8">
        <w:rPr>
          <w:lang w:val="en-GB"/>
        </w:rPr>
        <w:t xml:space="preserve"> </w:t>
      </w:r>
      <w:r w:rsidR="001C1B03" w:rsidRPr="000050B8">
        <w:rPr>
          <w:lang w:val="en-GB"/>
        </w:rPr>
        <w:t xml:space="preserve">innovates </w:t>
      </w:r>
      <w:r w:rsidR="00554312" w:rsidRPr="000050B8">
        <w:rPr>
          <w:lang w:val="en-GB"/>
        </w:rPr>
        <w:t>in</w:t>
      </w:r>
      <w:r w:rsidR="00471165" w:rsidRPr="000050B8">
        <w:rPr>
          <w:lang w:val="en-GB"/>
        </w:rPr>
        <w:t xml:space="preserve"> a</w:t>
      </w:r>
      <w:r w:rsidR="00554312" w:rsidRPr="000050B8">
        <w:rPr>
          <w:lang w:val="en-GB"/>
        </w:rPr>
        <w:t xml:space="preserve"> radically different way from those in</w:t>
      </w:r>
      <w:r w:rsidR="005A3630" w:rsidRPr="000050B8">
        <w:rPr>
          <w:lang w:val="en-GB"/>
        </w:rPr>
        <w:t xml:space="preserve"> smaller cities and rural areas.</w:t>
      </w:r>
    </w:p>
    <w:p w14:paraId="218641D3" w14:textId="4F5240A9" w:rsidR="00CB606E" w:rsidRPr="00EB63F1" w:rsidRDefault="00CB606E" w:rsidP="00CB606E">
      <w:pPr>
        <w:pStyle w:val="Heading2"/>
        <w:spacing w:line="480" w:lineRule="auto"/>
        <w:rPr>
          <w:caps/>
        </w:rPr>
      </w:pPr>
      <w:r w:rsidRPr="00EB63F1">
        <w:rPr>
          <w:caps/>
        </w:rPr>
        <w:t>Acknowledgements</w:t>
      </w:r>
    </w:p>
    <w:p w14:paraId="4DEE4809" w14:textId="5238AB10" w:rsidR="00CB606E" w:rsidRDefault="00CB606E" w:rsidP="00CB606E">
      <w:pPr>
        <w:spacing w:line="480" w:lineRule="auto"/>
        <w:rPr>
          <w:color w:val="000000"/>
          <w:szCs w:val="24"/>
          <w:shd w:val="clear" w:color="auto" w:fill="FFFFFF"/>
          <w:lang w:val="en-GB"/>
        </w:rPr>
      </w:pPr>
      <w:r>
        <w:rPr>
          <w:color w:val="000000"/>
          <w:szCs w:val="24"/>
          <w:shd w:val="clear" w:color="auto" w:fill="FFFFFF"/>
          <w:lang w:val="en-GB"/>
        </w:rPr>
        <w:t xml:space="preserve">The research for this paper was funded by the Research Council of Norway under the </w:t>
      </w:r>
      <w:proofErr w:type="spellStart"/>
      <w:r>
        <w:rPr>
          <w:color w:val="000000"/>
          <w:szCs w:val="24"/>
          <w:shd w:val="clear" w:color="auto" w:fill="FFFFFF"/>
          <w:lang w:val="en-GB"/>
        </w:rPr>
        <w:t>Demosreg</w:t>
      </w:r>
      <w:proofErr w:type="spellEnd"/>
      <w:r>
        <w:rPr>
          <w:color w:val="000000"/>
          <w:szCs w:val="24"/>
          <w:shd w:val="clear" w:color="auto" w:fill="FFFFFF"/>
          <w:lang w:val="en-GB"/>
        </w:rPr>
        <w:t xml:space="preserve"> programme (project no. 209761). Data from the Community Innovation Survey and the Norwegian employment and education registers were provided by Statistics Norway. Earlier versions of the paper were presented at the</w:t>
      </w:r>
      <w:r w:rsidR="009821BC">
        <w:rPr>
          <w:color w:val="000000"/>
          <w:szCs w:val="24"/>
          <w:shd w:val="clear" w:color="auto" w:fill="FFFFFF"/>
          <w:lang w:val="en-GB"/>
        </w:rPr>
        <w:t xml:space="preserve"> Regional Innovation Policies Conference in Karlsruhe 2015, the</w:t>
      </w:r>
      <w:r>
        <w:rPr>
          <w:color w:val="000000"/>
          <w:szCs w:val="24"/>
          <w:shd w:val="clear" w:color="auto" w:fill="FFFFFF"/>
          <w:lang w:val="en-GB"/>
        </w:rPr>
        <w:t xml:space="preserve"> American Association of Geographers’ Annual Meeting in San Francisco 2016, the </w:t>
      </w:r>
      <w:proofErr w:type="spellStart"/>
      <w:r>
        <w:rPr>
          <w:color w:val="000000"/>
          <w:szCs w:val="24"/>
          <w:shd w:val="clear" w:color="auto" w:fill="FFFFFF"/>
          <w:lang w:val="en-GB"/>
        </w:rPr>
        <w:t>Uddevalla</w:t>
      </w:r>
      <w:proofErr w:type="spellEnd"/>
      <w:r>
        <w:rPr>
          <w:color w:val="000000"/>
          <w:szCs w:val="24"/>
          <w:shd w:val="clear" w:color="auto" w:fill="FFFFFF"/>
          <w:lang w:val="en-GB"/>
        </w:rPr>
        <w:t xml:space="preserve"> Symposium in London 2016 and the European Regional Science Association Annual Conference in Vienna 2016. We are grateful to participants at these sessions and to the editor and three anonymous reviewers at </w:t>
      </w:r>
      <w:r>
        <w:rPr>
          <w:i/>
          <w:color w:val="000000"/>
          <w:szCs w:val="24"/>
          <w:shd w:val="clear" w:color="auto" w:fill="FFFFFF"/>
          <w:lang w:val="en-GB"/>
        </w:rPr>
        <w:t xml:space="preserve">Journal of Regional </w:t>
      </w:r>
      <w:r>
        <w:rPr>
          <w:i/>
          <w:color w:val="000000"/>
          <w:szCs w:val="24"/>
          <w:shd w:val="clear" w:color="auto" w:fill="FFFFFF"/>
          <w:lang w:val="en-GB"/>
        </w:rPr>
        <w:lastRenderedPageBreak/>
        <w:t>Science</w:t>
      </w:r>
      <w:r>
        <w:rPr>
          <w:color w:val="000000"/>
          <w:szCs w:val="24"/>
          <w:shd w:val="clear" w:color="auto" w:fill="FFFFFF"/>
          <w:lang w:val="en-GB"/>
        </w:rPr>
        <w:t xml:space="preserve"> for advice that helped to improve the paper. Ole </w:t>
      </w:r>
      <w:proofErr w:type="spellStart"/>
      <w:r>
        <w:rPr>
          <w:color w:val="000000"/>
          <w:szCs w:val="24"/>
          <w:shd w:val="clear" w:color="auto" w:fill="FFFFFF"/>
          <w:lang w:val="en-GB"/>
        </w:rPr>
        <w:t>Bergesen</w:t>
      </w:r>
      <w:proofErr w:type="spellEnd"/>
      <w:r>
        <w:rPr>
          <w:color w:val="000000"/>
          <w:szCs w:val="24"/>
          <w:shd w:val="clear" w:color="auto" w:fill="FFFFFF"/>
          <w:lang w:val="en-GB"/>
        </w:rPr>
        <w:t xml:space="preserve"> and Silje Haus-Reve provided valuable research assistance.</w:t>
      </w:r>
    </w:p>
    <w:p w14:paraId="28976F8D" w14:textId="77777777" w:rsidR="005E6822" w:rsidRDefault="005E6822" w:rsidP="005E6822">
      <w:pPr>
        <w:spacing w:line="480" w:lineRule="auto"/>
        <w:rPr>
          <w:rFonts w:asciiTheme="majorHAnsi" w:eastAsiaTheme="majorEastAsia" w:hAnsiTheme="majorHAnsi" w:cstheme="majorBidi"/>
          <w:b/>
          <w:bCs/>
          <w:caps/>
          <w:color w:val="4F81BD" w:themeColor="accent1"/>
          <w:sz w:val="26"/>
          <w:szCs w:val="26"/>
        </w:rPr>
      </w:pPr>
    </w:p>
    <w:p w14:paraId="55F418D9" w14:textId="5A0C654F" w:rsidR="005E6822" w:rsidRPr="005E6822" w:rsidRDefault="005E6822" w:rsidP="005E6822">
      <w:pPr>
        <w:spacing w:line="480" w:lineRule="auto"/>
        <w:rPr>
          <w:rFonts w:asciiTheme="majorHAnsi" w:eastAsiaTheme="majorEastAsia" w:hAnsiTheme="majorHAnsi" w:cstheme="majorBidi"/>
          <w:b/>
          <w:bCs/>
          <w:caps/>
          <w:color w:val="4F81BD" w:themeColor="accent1"/>
          <w:sz w:val="26"/>
          <w:szCs w:val="26"/>
        </w:rPr>
      </w:pPr>
      <w:r w:rsidRPr="005E6822">
        <w:rPr>
          <w:rFonts w:asciiTheme="majorHAnsi" w:eastAsiaTheme="majorEastAsia" w:hAnsiTheme="majorHAnsi" w:cstheme="majorBidi"/>
          <w:b/>
          <w:bCs/>
          <w:caps/>
          <w:color w:val="4F81BD" w:themeColor="accent1"/>
          <w:sz w:val="26"/>
          <w:szCs w:val="26"/>
        </w:rPr>
        <w:t>Funding information</w:t>
      </w:r>
    </w:p>
    <w:p w14:paraId="106A2596" w14:textId="77777777" w:rsidR="005E6822" w:rsidRPr="00CB606E" w:rsidRDefault="005E6822" w:rsidP="005E6822">
      <w:pPr>
        <w:spacing w:line="480" w:lineRule="auto"/>
        <w:rPr>
          <w:color w:val="000000"/>
          <w:szCs w:val="24"/>
          <w:shd w:val="clear" w:color="auto" w:fill="FFFFFF"/>
          <w:lang w:val="en-GB"/>
        </w:rPr>
      </w:pPr>
      <w:r>
        <w:rPr>
          <w:color w:val="000000"/>
          <w:szCs w:val="24"/>
          <w:shd w:val="clear" w:color="auto" w:fill="FFFFFF"/>
          <w:lang w:val="en-GB"/>
        </w:rPr>
        <w:t xml:space="preserve">The research for this paper was funded by the Research Council of Norway under the </w:t>
      </w:r>
      <w:proofErr w:type="spellStart"/>
      <w:r>
        <w:rPr>
          <w:color w:val="000000"/>
          <w:szCs w:val="24"/>
          <w:shd w:val="clear" w:color="auto" w:fill="FFFFFF"/>
          <w:lang w:val="en-GB"/>
        </w:rPr>
        <w:t>Demosreg</w:t>
      </w:r>
      <w:proofErr w:type="spellEnd"/>
      <w:r>
        <w:rPr>
          <w:color w:val="000000"/>
          <w:szCs w:val="24"/>
          <w:shd w:val="clear" w:color="auto" w:fill="FFFFFF"/>
          <w:lang w:val="en-GB"/>
        </w:rPr>
        <w:t xml:space="preserve"> programme (project no. 209761). Data from the Community Innovation Survey and the Norwegian employment and education registers were provided by Statistics Norway.</w:t>
      </w:r>
    </w:p>
    <w:p w14:paraId="55EBE66F" w14:textId="77777777" w:rsidR="005E6822" w:rsidRPr="00CB606E" w:rsidRDefault="005E6822" w:rsidP="00CB606E">
      <w:pPr>
        <w:spacing w:line="480" w:lineRule="auto"/>
        <w:rPr>
          <w:color w:val="000000"/>
          <w:szCs w:val="24"/>
          <w:shd w:val="clear" w:color="auto" w:fill="FFFFFF"/>
          <w:lang w:val="en-GB"/>
        </w:rPr>
      </w:pPr>
    </w:p>
    <w:p w14:paraId="7D185DC7" w14:textId="77777777" w:rsidR="005E6822" w:rsidRDefault="005E6822">
      <w:pPr>
        <w:spacing w:after="0" w:line="240" w:lineRule="auto"/>
        <w:jc w:val="left"/>
        <w:rPr>
          <w:rFonts w:asciiTheme="majorHAnsi" w:eastAsiaTheme="majorEastAsia" w:hAnsiTheme="majorHAnsi" w:cstheme="majorBidi"/>
          <w:b/>
          <w:bCs/>
          <w:caps/>
          <w:color w:val="4F81BD" w:themeColor="accent1"/>
          <w:sz w:val="26"/>
          <w:szCs w:val="26"/>
          <w:lang w:val="en-GB"/>
        </w:rPr>
      </w:pPr>
      <w:r>
        <w:rPr>
          <w:caps/>
          <w:lang w:val="en-GB"/>
        </w:rPr>
        <w:br w:type="page"/>
      </w:r>
    </w:p>
    <w:p w14:paraId="30CB504C" w14:textId="549F449F" w:rsidR="004B3AB5" w:rsidRDefault="008B317D" w:rsidP="00C43B94">
      <w:pPr>
        <w:pStyle w:val="Heading2"/>
        <w:spacing w:line="480" w:lineRule="auto"/>
        <w:rPr>
          <w:caps/>
          <w:lang w:val="en-GB"/>
        </w:rPr>
      </w:pPr>
      <w:r>
        <w:rPr>
          <w:caps/>
          <w:lang w:val="en-GB"/>
        </w:rPr>
        <w:lastRenderedPageBreak/>
        <w:t>END</w:t>
      </w:r>
      <w:r w:rsidR="004B3AB5" w:rsidRPr="00EB63F1">
        <w:rPr>
          <w:caps/>
          <w:lang w:val="en-GB"/>
        </w:rPr>
        <w:t>notes</w:t>
      </w:r>
    </w:p>
    <w:p w14:paraId="263430EC" w14:textId="77777777" w:rsidR="000F16C4" w:rsidRPr="00EB63F1" w:rsidRDefault="000F16C4" w:rsidP="000F16C4">
      <w:pPr>
        <w:pStyle w:val="EndnoteText"/>
        <w:spacing w:line="480" w:lineRule="auto"/>
        <w:rPr>
          <w:sz w:val="24"/>
          <w:szCs w:val="24"/>
          <w:lang w:val="en-GB"/>
        </w:rPr>
      </w:pPr>
      <w:r w:rsidRPr="00EB63F1">
        <w:rPr>
          <w:rStyle w:val="EndnoteReference"/>
          <w:sz w:val="24"/>
          <w:szCs w:val="24"/>
          <w:lang w:val="en-GB"/>
        </w:rPr>
        <w:footnoteRef/>
      </w:r>
      <w:r w:rsidRPr="00EB63F1">
        <w:rPr>
          <w:sz w:val="24"/>
          <w:szCs w:val="24"/>
          <w:lang w:val="en-GB"/>
        </w:rPr>
        <w:t xml:space="preserve"> For detailed information on the three surveys, see Wilhelmsen and </w:t>
      </w:r>
      <w:proofErr w:type="spellStart"/>
      <w:r w:rsidRPr="00EB63F1">
        <w:rPr>
          <w:sz w:val="24"/>
          <w:szCs w:val="24"/>
          <w:lang w:val="en-GB"/>
        </w:rPr>
        <w:t>Foyn</w:t>
      </w:r>
      <w:proofErr w:type="spellEnd"/>
      <w:r w:rsidRPr="00EB63F1">
        <w:rPr>
          <w:sz w:val="24"/>
          <w:szCs w:val="24"/>
          <w:lang w:val="en-GB"/>
        </w:rPr>
        <w:t xml:space="preserve"> (2009), Wilhelmsen (2011), and </w:t>
      </w:r>
      <w:proofErr w:type="spellStart"/>
      <w:r w:rsidRPr="00EB63F1">
        <w:rPr>
          <w:sz w:val="24"/>
          <w:szCs w:val="24"/>
          <w:lang w:val="en-GB"/>
        </w:rPr>
        <w:t>Wilhemsen</w:t>
      </w:r>
      <w:proofErr w:type="spellEnd"/>
      <w:r w:rsidRPr="00EB63F1">
        <w:rPr>
          <w:sz w:val="24"/>
          <w:szCs w:val="24"/>
          <w:lang w:val="en-GB"/>
        </w:rPr>
        <w:t xml:space="preserve"> and </w:t>
      </w:r>
      <w:proofErr w:type="spellStart"/>
      <w:r w:rsidRPr="00EB63F1">
        <w:rPr>
          <w:sz w:val="24"/>
          <w:szCs w:val="24"/>
          <w:lang w:val="en-GB"/>
        </w:rPr>
        <w:t>Foyn</w:t>
      </w:r>
      <w:proofErr w:type="spellEnd"/>
      <w:r w:rsidRPr="00EB63F1">
        <w:rPr>
          <w:sz w:val="24"/>
          <w:szCs w:val="24"/>
          <w:lang w:val="en-GB"/>
        </w:rPr>
        <w:t xml:space="preserve"> (2012).</w:t>
      </w:r>
    </w:p>
    <w:p w14:paraId="080F8E75" w14:textId="77777777" w:rsidR="000F16C4" w:rsidRDefault="000F16C4" w:rsidP="000F16C4">
      <w:pPr>
        <w:pStyle w:val="EndnoteText"/>
        <w:spacing w:line="480" w:lineRule="auto"/>
        <w:rPr>
          <w:rStyle w:val="EndnoteReference"/>
          <w:sz w:val="24"/>
          <w:szCs w:val="24"/>
          <w:lang w:val="en-GB"/>
        </w:rPr>
      </w:pPr>
    </w:p>
    <w:p w14:paraId="3B459059" w14:textId="395835AA" w:rsidR="000F16C4" w:rsidRPr="00EB63F1" w:rsidRDefault="000F16C4" w:rsidP="000F16C4">
      <w:pPr>
        <w:pStyle w:val="EndnoteText"/>
        <w:spacing w:line="480" w:lineRule="auto"/>
        <w:rPr>
          <w:sz w:val="24"/>
          <w:szCs w:val="24"/>
          <w:lang w:val="en-GB"/>
        </w:rPr>
      </w:pPr>
      <w:r>
        <w:rPr>
          <w:rStyle w:val="EndnoteReference"/>
          <w:sz w:val="24"/>
          <w:szCs w:val="24"/>
          <w:lang w:val="en-GB"/>
        </w:rPr>
        <w:t>2</w:t>
      </w:r>
      <w:r w:rsidRPr="00EB63F1">
        <w:rPr>
          <w:sz w:val="24"/>
          <w:szCs w:val="24"/>
          <w:lang w:val="en-GB"/>
        </w:rPr>
        <w:t xml:space="preserve"> Specifically, the sample includes all firms with 50 or more employees in the target industries of the survey (mining, manufacturing, services, oil and gas, and aquaculture). In addition, it includes all firms with 10-49 employees that reported significant R&amp;D activities in previous survey waves. Finally, it includes a sample of all other firms with 5-49 employees in the target industries. These are sampled through a procedure which stratifies firms by size and industry. Larger firms within this segment have a higher likelihood of inclusion. There are slight variations in the sampling procedure across surveys (mainly pertaining to the stratification procedure), implying that sample averages and other descriptive statistics cannot be compared directly across years.</w:t>
      </w:r>
    </w:p>
    <w:p w14:paraId="423BF9F6" w14:textId="77777777" w:rsidR="000F16C4" w:rsidRDefault="000F16C4" w:rsidP="000F16C4">
      <w:pPr>
        <w:pStyle w:val="EndnoteText"/>
        <w:spacing w:line="480" w:lineRule="auto"/>
        <w:rPr>
          <w:sz w:val="24"/>
          <w:szCs w:val="24"/>
          <w:lang w:val="en-GB"/>
        </w:rPr>
      </w:pPr>
    </w:p>
    <w:p w14:paraId="76BF6C2A" w14:textId="335E42F8" w:rsidR="000F16C4" w:rsidRPr="00EB63F1" w:rsidRDefault="000F16C4" w:rsidP="000F16C4">
      <w:pPr>
        <w:pStyle w:val="EndnoteText"/>
        <w:spacing w:line="480" w:lineRule="auto"/>
        <w:rPr>
          <w:sz w:val="24"/>
          <w:szCs w:val="24"/>
          <w:lang w:val="en-GB"/>
        </w:rPr>
      </w:pPr>
      <w:r>
        <w:rPr>
          <w:rStyle w:val="EndnoteReference"/>
          <w:sz w:val="24"/>
          <w:szCs w:val="24"/>
          <w:lang w:val="en-GB"/>
        </w:rPr>
        <w:t>3</w:t>
      </w:r>
      <w:r w:rsidRPr="00EB63F1">
        <w:rPr>
          <w:sz w:val="24"/>
          <w:szCs w:val="24"/>
          <w:lang w:val="en-GB"/>
        </w:rPr>
        <w:t xml:space="preserve"> In a separate analysis, we also use the firm’s share of income from new products, and from products new to the market, as measures of firm innovation, bringing the total number of dependent variables used in the paper to seven. These variables are further defined below.</w:t>
      </w:r>
    </w:p>
    <w:p w14:paraId="50EC4E85" w14:textId="77777777" w:rsidR="000F16C4" w:rsidRDefault="000F16C4" w:rsidP="000F16C4">
      <w:pPr>
        <w:pStyle w:val="EndnoteText"/>
        <w:spacing w:line="480" w:lineRule="auto"/>
        <w:rPr>
          <w:sz w:val="24"/>
          <w:szCs w:val="24"/>
          <w:lang w:val="en-GB"/>
        </w:rPr>
      </w:pPr>
    </w:p>
    <w:p w14:paraId="28A56C30" w14:textId="6D257452" w:rsidR="000F16C4" w:rsidRPr="00EB63F1" w:rsidRDefault="000F16C4" w:rsidP="000F16C4">
      <w:pPr>
        <w:pStyle w:val="EndnoteText"/>
        <w:spacing w:line="480" w:lineRule="auto"/>
        <w:rPr>
          <w:sz w:val="24"/>
          <w:szCs w:val="24"/>
          <w:lang w:val="en-GB"/>
        </w:rPr>
      </w:pPr>
      <w:r>
        <w:rPr>
          <w:rStyle w:val="EndnoteReference"/>
          <w:sz w:val="24"/>
          <w:szCs w:val="24"/>
          <w:lang w:val="en-GB"/>
        </w:rPr>
        <w:t>4</w:t>
      </w:r>
      <w:r w:rsidRPr="00EB63F1">
        <w:rPr>
          <w:sz w:val="24"/>
          <w:szCs w:val="24"/>
          <w:lang w:val="en-GB"/>
        </w:rPr>
        <w:t xml:space="preserve"> The questionnaire defines collaboration as active participation in joint R&amp;D or other innovation activities with other organisations, excluding pure subcontracting.</w:t>
      </w:r>
    </w:p>
    <w:p w14:paraId="3626A64A" w14:textId="77777777" w:rsidR="000F16C4" w:rsidRDefault="000F16C4" w:rsidP="000F16C4">
      <w:pPr>
        <w:pStyle w:val="EndnoteText"/>
        <w:spacing w:line="480" w:lineRule="auto"/>
        <w:rPr>
          <w:sz w:val="24"/>
          <w:szCs w:val="24"/>
          <w:lang w:val="en-GB"/>
        </w:rPr>
      </w:pPr>
    </w:p>
    <w:p w14:paraId="6D343AB0" w14:textId="07AA9519" w:rsidR="000F16C4" w:rsidRDefault="000F16C4" w:rsidP="000F16C4">
      <w:pPr>
        <w:pStyle w:val="EndnoteText"/>
        <w:spacing w:line="480" w:lineRule="auto"/>
        <w:rPr>
          <w:sz w:val="24"/>
          <w:szCs w:val="24"/>
          <w:lang w:val="en-GB"/>
        </w:rPr>
      </w:pPr>
      <w:r>
        <w:rPr>
          <w:rStyle w:val="EndnoteReference"/>
          <w:sz w:val="24"/>
          <w:szCs w:val="24"/>
          <w:lang w:val="en-GB"/>
        </w:rPr>
        <w:t>5</w:t>
      </w:r>
      <w:r w:rsidRPr="00EB63F1">
        <w:rPr>
          <w:sz w:val="24"/>
          <w:szCs w:val="24"/>
          <w:lang w:val="en-GB"/>
        </w:rPr>
        <w:t xml:space="preserve"> We have also estimated the models with standard errors clustered over counties, with no difference in the results.</w:t>
      </w:r>
    </w:p>
    <w:p w14:paraId="13992816" w14:textId="77777777" w:rsidR="000F16C4" w:rsidRPr="00EB63F1" w:rsidRDefault="000F16C4" w:rsidP="000F16C4">
      <w:pPr>
        <w:pStyle w:val="EndnoteText"/>
        <w:spacing w:line="480" w:lineRule="auto"/>
        <w:rPr>
          <w:sz w:val="24"/>
          <w:szCs w:val="24"/>
          <w:lang w:val="en-GB"/>
        </w:rPr>
      </w:pPr>
    </w:p>
    <w:p w14:paraId="5F5A4C76" w14:textId="688363D1" w:rsidR="000F16C4" w:rsidRDefault="000F16C4" w:rsidP="000F16C4">
      <w:pPr>
        <w:spacing w:line="480" w:lineRule="auto"/>
        <w:rPr>
          <w:szCs w:val="24"/>
          <w:lang w:val="en-GB"/>
        </w:rPr>
      </w:pPr>
      <w:r>
        <w:rPr>
          <w:rStyle w:val="EndnoteReference"/>
          <w:szCs w:val="24"/>
          <w:lang w:val="en-GB"/>
        </w:rPr>
        <w:lastRenderedPageBreak/>
        <w:t>6</w:t>
      </w:r>
      <w:r w:rsidRPr="00EB63F1">
        <w:rPr>
          <w:szCs w:val="24"/>
          <w:lang w:val="en-GB"/>
        </w:rPr>
        <w:t xml:space="preserve"> For Oslo and </w:t>
      </w:r>
      <w:proofErr w:type="spellStart"/>
      <w:r w:rsidRPr="00EB63F1">
        <w:rPr>
          <w:szCs w:val="24"/>
          <w:lang w:val="en-GB"/>
        </w:rPr>
        <w:t>Akershus</w:t>
      </w:r>
      <w:proofErr w:type="spellEnd"/>
      <w:r w:rsidRPr="00EB63F1">
        <w:rPr>
          <w:szCs w:val="24"/>
          <w:lang w:val="en-GB"/>
        </w:rPr>
        <w:t xml:space="preserve"> counties, the county fixed effects are perfectly collinear with the dummy variable for location in a big city region. To avoid this problem, we merge these counties with the counties of </w:t>
      </w:r>
      <w:proofErr w:type="spellStart"/>
      <w:r w:rsidRPr="00EB63F1">
        <w:rPr>
          <w:szCs w:val="24"/>
          <w:lang w:val="en-GB"/>
        </w:rPr>
        <w:t>Østfold</w:t>
      </w:r>
      <w:proofErr w:type="spellEnd"/>
      <w:r w:rsidRPr="00EB63F1">
        <w:rPr>
          <w:szCs w:val="24"/>
          <w:lang w:val="en-GB"/>
        </w:rPr>
        <w:t xml:space="preserve"> and Buskerud – which will become part of the </w:t>
      </w:r>
      <w:proofErr w:type="spellStart"/>
      <w:r w:rsidRPr="00EB63F1">
        <w:rPr>
          <w:szCs w:val="24"/>
          <w:lang w:val="en-GB"/>
        </w:rPr>
        <w:t>Viken</w:t>
      </w:r>
      <w:proofErr w:type="spellEnd"/>
      <w:r w:rsidRPr="00EB63F1">
        <w:rPr>
          <w:szCs w:val="24"/>
          <w:lang w:val="en-GB"/>
        </w:rPr>
        <w:t xml:space="preserve"> county together with </w:t>
      </w:r>
      <w:proofErr w:type="spellStart"/>
      <w:r w:rsidRPr="00EB63F1">
        <w:rPr>
          <w:szCs w:val="24"/>
          <w:lang w:val="en-GB"/>
        </w:rPr>
        <w:t>Akershus</w:t>
      </w:r>
      <w:proofErr w:type="spellEnd"/>
      <w:r w:rsidRPr="00EB63F1">
        <w:rPr>
          <w:szCs w:val="24"/>
          <w:lang w:val="en-GB"/>
        </w:rPr>
        <w:t xml:space="preserve"> from 2020 – for this analysis.</w:t>
      </w:r>
    </w:p>
    <w:p w14:paraId="79914AEB" w14:textId="00CB2077" w:rsidR="00131417" w:rsidRDefault="00131417">
      <w:pPr>
        <w:spacing w:after="0" w:line="240" w:lineRule="auto"/>
        <w:jc w:val="left"/>
        <w:rPr>
          <w:rFonts w:asciiTheme="majorHAnsi" w:eastAsiaTheme="majorEastAsia" w:hAnsiTheme="majorHAnsi" w:cstheme="majorBidi"/>
          <w:b/>
          <w:bCs/>
          <w:caps/>
          <w:color w:val="4F81BD" w:themeColor="accent1"/>
          <w:sz w:val="26"/>
          <w:szCs w:val="26"/>
        </w:rPr>
      </w:pPr>
    </w:p>
    <w:p w14:paraId="7118D59E" w14:textId="77777777" w:rsidR="000F16C4" w:rsidRDefault="000F16C4">
      <w:pPr>
        <w:spacing w:after="0" w:line="240" w:lineRule="auto"/>
        <w:jc w:val="left"/>
        <w:rPr>
          <w:rFonts w:asciiTheme="majorHAnsi" w:eastAsiaTheme="majorEastAsia" w:hAnsiTheme="majorHAnsi" w:cstheme="majorBidi"/>
          <w:b/>
          <w:bCs/>
          <w:caps/>
          <w:color w:val="4F81BD" w:themeColor="accent1"/>
          <w:sz w:val="26"/>
          <w:szCs w:val="26"/>
        </w:rPr>
      </w:pPr>
      <w:r>
        <w:rPr>
          <w:caps/>
        </w:rPr>
        <w:br w:type="page"/>
      </w:r>
    </w:p>
    <w:p w14:paraId="1409BFE9" w14:textId="0BA91860" w:rsidR="006C44C0" w:rsidRPr="00EB63F1" w:rsidRDefault="00C964AA" w:rsidP="00C43B94">
      <w:pPr>
        <w:pStyle w:val="Heading2"/>
        <w:spacing w:line="480" w:lineRule="auto"/>
        <w:rPr>
          <w:caps/>
        </w:rPr>
      </w:pPr>
      <w:r w:rsidRPr="00EB63F1">
        <w:rPr>
          <w:caps/>
        </w:rPr>
        <w:lastRenderedPageBreak/>
        <w:t>References</w:t>
      </w:r>
    </w:p>
    <w:p w14:paraId="020FFC46" w14:textId="0129B990" w:rsidR="00983417" w:rsidRPr="00A166E0" w:rsidRDefault="00983417" w:rsidP="00C43B94">
      <w:pPr>
        <w:spacing w:line="480" w:lineRule="auto"/>
        <w:rPr>
          <w:lang w:val="it-IT"/>
        </w:rPr>
      </w:pPr>
      <w:r w:rsidRPr="001A34A3">
        <w:t>Aarstad, J., Kvitastei</w:t>
      </w:r>
      <w:r w:rsidR="004D10A0" w:rsidRPr="001A34A3">
        <w:t xml:space="preserve">n, O.A., </w:t>
      </w:r>
      <w:r w:rsidR="004C22A7">
        <w:t xml:space="preserve">&amp; </w:t>
      </w:r>
      <w:r w:rsidR="004D10A0" w:rsidRPr="001A34A3">
        <w:t xml:space="preserve">Jakobsen, S.E. </w:t>
      </w:r>
      <w:r w:rsidR="00CC6A5F">
        <w:t>(</w:t>
      </w:r>
      <w:r w:rsidR="004D10A0" w:rsidRPr="001A34A3">
        <w:t>2016</w:t>
      </w:r>
      <w:r w:rsidR="00CC6A5F">
        <w:t>)</w:t>
      </w:r>
      <w:r w:rsidR="004D10A0" w:rsidRPr="001A34A3">
        <w:t xml:space="preserve">. </w:t>
      </w:r>
      <w:r w:rsidR="004D10A0" w:rsidRPr="000050B8">
        <w:rPr>
          <w:lang w:val="en-GB"/>
        </w:rPr>
        <w:t xml:space="preserve">Related and unrelated variety as regional drivers of enterprise productivity and innovation: A multilevel study. </w:t>
      </w:r>
      <w:proofErr w:type="spellStart"/>
      <w:r w:rsidR="004D10A0" w:rsidRPr="00A166E0">
        <w:rPr>
          <w:i/>
          <w:lang w:val="it-IT"/>
        </w:rPr>
        <w:t>Research</w:t>
      </w:r>
      <w:proofErr w:type="spellEnd"/>
      <w:r w:rsidR="004D10A0" w:rsidRPr="00A166E0">
        <w:rPr>
          <w:i/>
          <w:lang w:val="it-IT"/>
        </w:rPr>
        <w:t xml:space="preserve"> Policy</w:t>
      </w:r>
      <w:r w:rsidR="00790751" w:rsidRPr="005E6822">
        <w:rPr>
          <w:lang w:val="it-IT"/>
        </w:rPr>
        <w:t>,</w:t>
      </w:r>
      <w:r w:rsidR="004D10A0" w:rsidRPr="00A166E0">
        <w:rPr>
          <w:lang w:val="it-IT"/>
        </w:rPr>
        <w:t xml:space="preserve"> </w:t>
      </w:r>
      <w:r w:rsidR="004D10A0" w:rsidRPr="00EB63F1">
        <w:rPr>
          <w:i/>
          <w:lang w:val="it-IT"/>
        </w:rPr>
        <w:t>45</w:t>
      </w:r>
      <w:r w:rsidR="004D10A0" w:rsidRPr="00A166E0">
        <w:rPr>
          <w:lang w:val="it-IT"/>
        </w:rPr>
        <w:t>(4</w:t>
      </w:r>
      <w:r w:rsidR="00A33EEC" w:rsidRPr="00A166E0">
        <w:rPr>
          <w:lang w:val="it-IT"/>
        </w:rPr>
        <w:t>)</w:t>
      </w:r>
      <w:r w:rsidR="00A33EEC">
        <w:rPr>
          <w:lang w:val="it-IT"/>
        </w:rPr>
        <w:t>,</w:t>
      </w:r>
      <w:r w:rsidR="00A33EEC" w:rsidRPr="00A166E0">
        <w:rPr>
          <w:lang w:val="it-IT"/>
        </w:rPr>
        <w:t xml:space="preserve"> </w:t>
      </w:r>
      <w:r w:rsidR="004D10A0" w:rsidRPr="00A166E0">
        <w:rPr>
          <w:lang w:val="it-IT"/>
        </w:rPr>
        <w:t>844</w:t>
      </w:r>
      <w:r w:rsidR="0098397E" w:rsidRPr="005E6822">
        <w:rPr>
          <w:rFonts w:eastAsia="TimesTenLTStd-Roman"/>
          <w:szCs w:val="22"/>
          <w:lang w:val="it-IT"/>
        </w:rPr>
        <w:t>–</w:t>
      </w:r>
      <w:r w:rsidR="004D10A0" w:rsidRPr="00A166E0">
        <w:rPr>
          <w:lang w:val="it-IT"/>
        </w:rPr>
        <w:t>856.</w:t>
      </w:r>
    </w:p>
    <w:p w14:paraId="722A67A6" w14:textId="4ABCABDA" w:rsidR="000556F3" w:rsidRPr="000556F3" w:rsidRDefault="000556F3" w:rsidP="00C43B94">
      <w:pPr>
        <w:spacing w:line="480" w:lineRule="auto"/>
        <w:rPr>
          <w:lang w:val="en-GB"/>
        </w:rPr>
      </w:pPr>
      <w:proofErr w:type="spellStart"/>
      <w:r w:rsidRPr="00A166E0">
        <w:rPr>
          <w:lang w:val="it-IT"/>
        </w:rPr>
        <w:t>Accetturo</w:t>
      </w:r>
      <w:proofErr w:type="spellEnd"/>
      <w:r w:rsidRPr="00A166E0">
        <w:rPr>
          <w:lang w:val="it-IT"/>
        </w:rPr>
        <w:t xml:space="preserve">, A., Di Giacinto, V., Micucci, G., </w:t>
      </w:r>
      <w:r w:rsidR="004C22A7">
        <w:rPr>
          <w:lang w:val="it-IT"/>
        </w:rPr>
        <w:t xml:space="preserve">&amp; </w:t>
      </w:r>
      <w:proofErr w:type="spellStart"/>
      <w:r w:rsidRPr="00A166E0">
        <w:rPr>
          <w:lang w:val="it-IT"/>
        </w:rPr>
        <w:t>Pagnini</w:t>
      </w:r>
      <w:proofErr w:type="spellEnd"/>
      <w:r w:rsidRPr="00A166E0">
        <w:rPr>
          <w:lang w:val="it-IT"/>
        </w:rPr>
        <w:t xml:space="preserve">, M. </w:t>
      </w:r>
      <w:r w:rsidR="00CC6A5F">
        <w:rPr>
          <w:lang w:val="it-IT"/>
        </w:rPr>
        <w:t>(</w:t>
      </w:r>
      <w:r w:rsidRPr="00A166E0">
        <w:rPr>
          <w:lang w:val="it-IT"/>
        </w:rPr>
        <w:t>2018</w:t>
      </w:r>
      <w:r w:rsidR="00CC6A5F">
        <w:rPr>
          <w:lang w:val="it-IT"/>
        </w:rPr>
        <w:t>)</w:t>
      </w:r>
      <w:r w:rsidRPr="00A166E0">
        <w:rPr>
          <w:lang w:val="it-IT"/>
        </w:rPr>
        <w:t xml:space="preserve">. </w:t>
      </w:r>
      <w:r>
        <w:rPr>
          <w:lang w:val="en-GB"/>
        </w:rPr>
        <w:t xml:space="preserve">Geography, productivity, and trade: Does selection explain why some locations are more productive than others? </w:t>
      </w:r>
      <w:r>
        <w:rPr>
          <w:i/>
          <w:lang w:val="en-GB"/>
        </w:rPr>
        <w:t>Journal of Regional Science</w:t>
      </w:r>
      <w:r w:rsidR="00790751">
        <w:rPr>
          <w:lang w:val="en-GB"/>
        </w:rPr>
        <w:t>,</w:t>
      </w:r>
      <w:r>
        <w:rPr>
          <w:lang w:val="en-GB"/>
        </w:rPr>
        <w:t xml:space="preserve"> </w:t>
      </w:r>
      <w:r w:rsidRPr="00EB63F1">
        <w:rPr>
          <w:i/>
          <w:lang w:val="en-GB"/>
        </w:rPr>
        <w:t>58</w:t>
      </w:r>
      <w:r>
        <w:rPr>
          <w:lang w:val="en-GB"/>
        </w:rPr>
        <w:t>(5)</w:t>
      </w:r>
      <w:r w:rsidR="00A33EEC">
        <w:rPr>
          <w:lang w:val="en-GB"/>
        </w:rPr>
        <w:t>,</w:t>
      </w:r>
      <w:r>
        <w:rPr>
          <w:lang w:val="en-GB"/>
        </w:rPr>
        <w:t xml:space="preserve"> 949</w:t>
      </w:r>
      <w:r w:rsidR="00CA67D4" w:rsidRPr="000050B8">
        <w:rPr>
          <w:rFonts w:eastAsia="TimesTenLTStd-Roman"/>
          <w:szCs w:val="22"/>
          <w:lang w:val="en-GB"/>
        </w:rPr>
        <w:t>–</w:t>
      </w:r>
      <w:r>
        <w:rPr>
          <w:lang w:val="en-GB"/>
        </w:rPr>
        <w:t>979.</w:t>
      </w:r>
    </w:p>
    <w:p w14:paraId="7DD6CB74" w14:textId="475DF9F8" w:rsidR="0055153D" w:rsidRPr="0055153D" w:rsidRDefault="0055153D" w:rsidP="004555B0">
      <w:pPr>
        <w:spacing w:line="480" w:lineRule="auto"/>
        <w:rPr>
          <w:lang w:val="en-GB"/>
        </w:rPr>
      </w:pPr>
      <w:r>
        <w:rPr>
          <w:lang w:val="en-GB"/>
        </w:rPr>
        <w:t xml:space="preserve">Ahlin, L., Andersson, M., </w:t>
      </w:r>
      <w:r w:rsidR="004C22A7">
        <w:rPr>
          <w:lang w:val="en-GB"/>
        </w:rPr>
        <w:t xml:space="preserve">&amp; </w:t>
      </w:r>
      <w:proofErr w:type="spellStart"/>
      <w:r>
        <w:rPr>
          <w:lang w:val="en-GB"/>
        </w:rPr>
        <w:t>Thulin</w:t>
      </w:r>
      <w:proofErr w:type="spellEnd"/>
      <w:r>
        <w:rPr>
          <w:lang w:val="en-GB"/>
        </w:rPr>
        <w:t xml:space="preserve">, P. </w:t>
      </w:r>
      <w:r w:rsidR="00CC6A5F">
        <w:rPr>
          <w:lang w:val="en-GB"/>
        </w:rPr>
        <w:t>(</w:t>
      </w:r>
      <w:r>
        <w:rPr>
          <w:lang w:val="en-GB"/>
        </w:rPr>
        <w:t>2018</w:t>
      </w:r>
      <w:r w:rsidR="00CC6A5F">
        <w:rPr>
          <w:lang w:val="en-GB"/>
        </w:rPr>
        <w:t>)</w:t>
      </w:r>
      <w:r>
        <w:rPr>
          <w:lang w:val="en-GB"/>
        </w:rPr>
        <w:t xml:space="preserve">. Human capital sorting: The “when” and “who” of the sorting of educated workers to urban regions. </w:t>
      </w:r>
      <w:r>
        <w:rPr>
          <w:i/>
          <w:lang w:val="en-GB"/>
        </w:rPr>
        <w:t>Journal of Regional Science</w:t>
      </w:r>
      <w:r w:rsidR="00790751">
        <w:rPr>
          <w:lang w:val="en-GB"/>
        </w:rPr>
        <w:t>,</w:t>
      </w:r>
      <w:r>
        <w:rPr>
          <w:lang w:val="en-GB"/>
        </w:rPr>
        <w:t xml:space="preserve"> </w:t>
      </w:r>
      <w:r w:rsidRPr="00EB63F1">
        <w:rPr>
          <w:i/>
          <w:lang w:val="en-GB"/>
        </w:rPr>
        <w:t>58</w:t>
      </w:r>
      <w:r>
        <w:rPr>
          <w:lang w:val="en-GB"/>
        </w:rPr>
        <w:t>(3)</w:t>
      </w:r>
      <w:r w:rsidR="00A33EEC">
        <w:rPr>
          <w:lang w:val="en-GB"/>
        </w:rPr>
        <w:t>,</w:t>
      </w:r>
      <w:r>
        <w:rPr>
          <w:lang w:val="en-GB"/>
        </w:rPr>
        <w:t xml:space="preserve"> 581</w:t>
      </w:r>
      <w:r w:rsidR="00CA67D4" w:rsidRPr="000050B8">
        <w:rPr>
          <w:rFonts w:eastAsia="TimesTenLTStd-Roman"/>
          <w:szCs w:val="22"/>
          <w:lang w:val="en-GB"/>
        </w:rPr>
        <w:t>–</w:t>
      </w:r>
      <w:r>
        <w:rPr>
          <w:lang w:val="en-GB"/>
        </w:rPr>
        <w:t>610.</w:t>
      </w:r>
    </w:p>
    <w:p w14:paraId="72A2CB0D" w14:textId="0A780070" w:rsidR="00DE3725" w:rsidRPr="000050B8" w:rsidRDefault="00563F9B" w:rsidP="004555B0">
      <w:pPr>
        <w:spacing w:line="480" w:lineRule="auto"/>
        <w:rPr>
          <w:lang w:val="en-GB"/>
        </w:rPr>
      </w:pPr>
      <w:r w:rsidRPr="000050B8">
        <w:rPr>
          <w:lang w:val="en-GB"/>
        </w:rPr>
        <w:t xml:space="preserve">Amin, A., </w:t>
      </w:r>
      <w:r w:rsidR="004C22A7">
        <w:rPr>
          <w:lang w:val="en-GB"/>
        </w:rPr>
        <w:t xml:space="preserve">&amp; </w:t>
      </w:r>
      <w:r w:rsidRPr="000050B8">
        <w:rPr>
          <w:lang w:val="en-GB"/>
        </w:rPr>
        <w:t xml:space="preserve">Cohendet, P. </w:t>
      </w:r>
      <w:r w:rsidR="00CC6A5F">
        <w:rPr>
          <w:lang w:val="en-GB"/>
        </w:rPr>
        <w:t>(</w:t>
      </w:r>
      <w:r w:rsidRPr="000050B8">
        <w:rPr>
          <w:lang w:val="en-GB"/>
        </w:rPr>
        <w:t>2004</w:t>
      </w:r>
      <w:r w:rsidR="00CC6A5F">
        <w:rPr>
          <w:lang w:val="en-GB"/>
        </w:rPr>
        <w:t>)</w:t>
      </w:r>
      <w:r w:rsidRPr="000050B8">
        <w:rPr>
          <w:lang w:val="en-GB"/>
        </w:rPr>
        <w:t xml:space="preserve">. </w:t>
      </w:r>
      <w:r w:rsidRPr="000050B8">
        <w:rPr>
          <w:i/>
          <w:lang w:val="en-GB"/>
        </w:rPr>
        <w:t>Architectures of Knowledge: Firms, Capabilities, and Communities</w:t>
      </w:r>
      <w:r w:rsidRPr="000050B8">
        <w:rPr>
          <w:lang w:val="en-GB"/>
        </w:rPr>
        <w:t>. Oxford: Oxford University Press.</w:t>
      </w:r>
    </w:p>
    <w:p w14:paraId="634CD627" w14:textId="7B4B89CA" w:rsidR="00DE3725" w:rsidRPr="000050B8" w:rsidRDefault="00DE3725" w:rsidP="00C43B94">
      <w:pPr>
        <w:spacing w:line="480" w:lineRule="auto"/>
        <w:rPr>
          <w:lang w:val="en-GB"/>
        </w:rPr>
      </w:pPr>
      <w:r w:rsidRPr="000050B8">
        <w:rPr>
          <w:szCs w:val="24"/>
          <w:lang w:val="en-GB"/>
        </w:rPr>
        <w:t xml:space="preserve">Andersson, R., Quigley, J. M., </w:t>
      </w:r>
      <w:r w:rsidR="004C22A7">
        <w:rPr>
          <w:szCs w:val="24"/>
          <w:lang w:val="en-GB"/>
        </w:rPr>
        <w:t xml:space="preserve">&amp; </w:t>
      </w:r>
      <w:proofErr w:type="spellStart"/>
      <w:r w:rsidRPr="000050B8">
        <w:rPr>
          <w:szCs w:val="24"/>
          <w:lang w:val="en-GB"/>
        </w:rPr>
        <w:t>Wilhelmsson</w:t>
      </w:r>
      <w:proofErr w:type="spellEnd"/>
      <w:r w:rsidRPr="000050B8">
        <w:rPr>
          <w:szCs w:val="24"/>
          <w:lang w:val="en-GB"/>
        </w:rPr>
        <w:t xml:space="preserve">, M. </w:t>
      </w:r>
      <w:r w:rsidR="00CC6A5F">
        <w:rPr>
          <w:szCs w:val="24"/>
          <w:lang w:val="en-GB"/>
        </w:rPr>
        <w:t>(</w:t>
      </w:r>
      <w:r w:rsidRPr="000050B8">
        <w:rPr>
          <w:szCs w:val="24"/>
          <w:lang w:val="en-GB"/>
        </w:rPr>
        <w:t>2005</w:t>
      </w:r>
      <w:r w:rsidR="00CC6A5F">
        <w:rPr>
          <w:szCs w:val="24"/>
          <w:lang w:val="en-GB"/>
        </w:rPr>
        <w:t>)</w:t>
      </w:r>
      <w:r w:rsidRPr="000050B8">
        <w:rPr>
          <w:szCs w:val="24"/>
          <w:lang w:val="en-GB"/>
        </w:rPr>
        <w:t xml:space="preserve">. Agglomeration and the spatial distribution of creativity. </w:t>
      </w:r>
      <w:r w:rsidRPr="000050B8">
        <w:rPr>
          <w:i/>
          <w:iCs/>
          <w:szCs w:val="24"/>
          <w:lang w:val="en-GB"/>
        </w:rPr>
        <w:t>Papers in Regional Science</w:t>
      </w:r>
      <w:r w:rsidR="00790751">
        <w:rPr>
          <w:lang w:val="en-GB"/>
        </w:rPr>
        <w:t>,</w:t>
      </w:r>
      <w:r w:rsidRPr="000050B8">
        <w:rPr>
          <w:szCs w:val="24"/>
          <w:lang w:val="en-GB"/>
        </w:rPr>
        <w:t xml:space="preserve"> </w:t>
      </w:r>
      <w:r w:rsidRPr="00EB63F1">
        <w:rPr>
          <w:i/>
          <w:iCs/>
          <w:szCs w:val="24"/>
          <w:lang w:val="en-GB"/>
        </w:rPr>
        <w:t>84</w:t>
      </w:r>
      <w:r w:rsidR="00A33EEC">
        <w:rPr>
          <w:iCs/>
          <w:szCs w:val="24"/>
          <w:lang w:val="en-GB"/>
        </w:rPr>
        <w:t>(3),</w:t>
      </w:r>
      <w:r w:rsidRPr="000050B8">
        <w:rPr>
          <w:szCs w:val="24"/>
          <w:lang w:val="en-GB"/>
        </w:rPr>
        <w:t xml:space="preserve"> 445–464. </w:t>
      </w:r>
    </w:p>
    <w:p w14:paraId="44F1E46D" w14:textId="2D930500" w:rsidR="001E3F86" w:rsidRPr="000050B8" w:rsidRDefault="001E3F86" w:rsidP="00C43B94">
      <w:pPr>
        <w:spacing w:line="480" w:lineRule="auto"/>
        <w:rPr>
          <w:lang w:val="en-GB"/>
        </w:rPr>
      </w:pPr>
      <w:r w:rsidRPr="000050B8">
        <w:rPr>
          <w:lang w:val="en-GB"/>
        </w:rPr>
        <w:t xml:space="preserve">Baldwin, R.E., </w:t>
      </w:r>
      <w:r w:rsidR="004C22A7">
        <w:rPr>
          <w:lang w:val="en-GB"/>
        </w:rPr>
        <w:t xml:space="preserve">&amp; </w:t>
      </w:r>
      <w:r w:rsidRPr="000050B8">
        <w:rPr>
          <w:lang w:val="en-GB"/>
        </w:rPr>
        <w:t xml:space="preserve">Okubo, T. </w:t>
      </w:r>
      <w:r w:rsidR="00CC6A5F">
        <w:rPr>
          <w:lang w:val="en-GB"/>
        </w:rPr>
        <w:t>(</w:t>
      </w:r>
      <w:r w:rsidRPr="000050B8">
        <w:rPr>
          <w:lang w:val="en-GB"/>
        </w:rPr>
        <w:t>2006</w:t>
      </w:r>
      <w:r w:rsidR="00CC6A5F">
        <w:rPr>
          <w:lang w:val="en-GB"/>
        </w:rPr>
        <w:t>)</w:t>
      </w:r>
      <w:r w:rsidRPr="000050B8">
        <w:rPr>
          <w:lang w:val="en-GB"/>
        </w:rPr>
        <w:t xml:space="preserve">. Heterogeneous firms, agglomeration and economic geography: Spatial selection and sorting. </w:t>
      </w:r>
      <w:r w:rsidRPr="000050B8">
        <w:rPr>
          <w:i/>
          <w:lang w:val="en-GB"/>
        </w:rPr>
        <w:t>Journal of Economic Geography</w:t>
      </w:r>
      <w:r w:rsidR="00790751">
        <w:rPr>
          <w:lang w:val="en-GB"/>
        </w:rPr>
        <w:t>,</w:t>
      </w:r>
      <w:r w:rsidRPr="000050B8">
        <w:rPr>
          <w:lang w:val="en-GB"/>
        </w:rPr>
        <w:t xml:space="preserve"> </w:t>
      </w:r>
      <w:r w:rsidRPr="00EB63F1">
        <w:rPr>
          <w:i/>
          <w:lang w:val="en-GB"/>
        </w:rPr>
        <w:t>6</w:t>
      </w:r>
      <w:r w:rsidRPr="000050B8">
        <w:rPr>
          <w:lang w:val="en-GB"/>
        </w:rPr>
        <w:t>(3</w:t>
      </w:r>
      <w:r w:rsidR="00A33EEC" w:rsidRPr="000050B8">
        <w:rPr>
          <w:lang w:val="en-GB"/>
        </w:rPr>
        <w:t>)</w:t>
      </w:r>
      <w:r w:rsidR="00A33EEC">
        <w:rPr>
          <w:lang w:val="en-GB"/>
        </w:rPr>
        <w:t>,</w:t>
      </w:r>
      <w:r w:rsidR="00A33EEC" w:rsidRPr="000050B8">
        <w:rPr>
          <w:lang w:val="en-GB"/>
        </w:rPr>
        <w:t xml:space="preserve"> </w:t>
      </w:r>
      <w:r w:rsidRPr="000050B8">
        <w:rPr>
          <w:lang w:val="en-GB"/>
        </w:rPr>
        <w:t>323</w:t>
      </w:r>
      <w:r w:rsidR="00CA67D4" w:rsidRPr="000050B8">
        <w:rPr>
          <w:rFonts w:eastAsia="TimesTenLTStd-Roman"/>
          <w:szCs w:val="22"/>
          <w:lang w:val="en-GB"/>
        </w:rPr>
        <w:t>–</w:t>
      </w:r>
      <w:r w:rsidRPr="000050B8">
        <w:rPr>
          <w:lang w:val="en-GB"/>
        </w:rPr>
        <w:t>346.</w:t>
      </w:r>
    </w:p>
    <w:p w14:paraId="56FB7E64" w14:textId="659DE6BB" w:rsidR="000C215A" w:rsidRPr="000050B8" w:rsidRDefault="000C215A" w:rsidP="00C43B94">
      <w:pPr>
        <w:spacing w:line="480" w:lineRule="auto"/>
        <w:rPr>
          <w:lang w:val="en-GB"/>
        </w:rPr>
      </w:pPr>
      <w:r w:rsidRPr="000050B8">
        <w:rPr>
          <w:lang w:val="en-GB"/>
        </w:rPr>
        <w:t xml:space="preserve">Bathelt, H., Malmberg, A., </w:t>
      </w:r>
      <w:r w:rsidR="007D6D17">
        <w:rPr>
          <w:lang w:val="en-GB"/>
        </w:rPr>
        <w:t xml:space="preserve">&amp; </w:t>
      </w:r>
      <w:r w:rsidRPr="000050B8">
        <w:rPr>
          <w:lang w:val="en-GB"/>
        </w:rPr>
        <w:t xml:space="preserve">Maskell, P. </w:t>
      </w:r>
      <w:r w:rsidR="00CC6A5F">
        <w:rPr>
          <w:lang w:val="en-GB"/>
        </w:rPr>
        <w:t>(</w:t>
      </w:r>
      <w:r w:rsidRPr="000050B8">
        <w:rPr>
          <w:lang w:val="en-GB"/>
        </w:rPr>
        <w:t>2004</w:t>
      </w:r>
      <w:r w:rsidR="00CC6A5F">
        <w:rPr>
          <w:lang w:val="en-GB"/>
        </w:rPr>
        <w:t>)</w:t>
      </w:r>
      <w:r w:rsidRPr="000050B8">
        <w:rPr>
          <w:lang w:val="en-GB"/>
        </w:rPr>
        <w:t xml:space="preserve">. Clusters and knowledge: Local buzz, global pipelines and the process of knowledge creation. </w:t>
      </w:r>
      <w:r w:rsidRPr="000050B8">
        <w:rPr>
          <w:i/>
          <w:lang w:val="en-GB"/>
        </w:rPr>
        <w:t>Progress in Human Geography</w:t>
      </w:r>
      <w:r w:rsidR="00790751">
        <w:rPr>
          <w:lang w:val="en-GB"/>
        </w:rPr>
        <w:t>,</w:t>
      </w:r>
      <w:r w:rsidRPr="000050B8">
        <w:rPr>
          <w:lang w:val="en-GB"/>
        </w:rPr>
        <w:t xml:space="preserve"> </w:t>
      </w:r>
      <w:r w:rsidRPr="00EB63F1">
        <w:rPr>
          <w:i/>
          <w:lang w:val="en-GB"/>
        </w:rPr>
        <w:t>28</w:t>
      </w:r>
      <w:r w:rsidRPr="000050B8">
        <w:rPr>
          <w:lang w:val="en-GB"/>
        </w:rPr>
        <w:t>(1)</w:t>
      </w:r>
      <w:r w:rsidR="00A33EEC">
        <w:rPr>
          <w:lang w:val="en-GB"/>
        </w:rPr>
        <w:t>,</w:t>
      </w:r>
      <w:r w:rsidRPr="000050B8">
        <w:rPr>
          <w:lang w:val="en-GB"/>
        </w:rPr>
        <w:t xml:space="preserve"> 31</w:t>
      </w:r>
      <w:r w:rsidR="00CA67D4" w:rsidRPr="000050B8">
        <w:rPr>
          <w:rFonts w:eastAsia="TimesTenLTStd-Roman"/>
          <w:szCs w:val="22"/>
          <w:lang w:val="en-GB"/>
        </w:rPr>
        <w:t>–</w:t>
      </w:r>
      <w:r w:rsidRPr="000050B8">
        <w:rPr>
          <w:lang w:val="en-GB"/>
        </w:rPr>
        <w:t>56.</w:t>
      </w:r>
    </w:p>
    <w:p w14:paraId="1C6D33DF" w14:textId="047FA195" w:rsidR="00C578E3" w:rsidRPr="000050B8" w:rsidRDefault="00C578E3" w:rsidP="00C43B94">
      <w:pPr>
        <w:spacing w:line="480" w:lineRule="auto"/>
        <w:rPr>
          <w:lang w:val="en-GB"/>
        </w:rPr>
      </w:pPr>
      <w:r w:rsidRPr="000050B8">
        <w:rPr>
          <w:lang w:val="en-GB"/>
        </w:rPr>
        <w:t xml:space="preserve">Beaverstock, J.V., Smith, R.G., </w:t>
      </w:r>
      <w:r w:rsidR="007D6D17">
        <w:rPr>
          <w:lang w:val="en-GB"/>
        </w:rPr>
        <w:t xml:space="preserve">&amp; </w:t>
      </w:r>
      <w:r w:rsidRPr="000050B8">
        <w:rPr>
          <w:lang w:val="en-GB"/>
        </w:rPr>
        <w:t xml:space="preserve">Taylor, P.J. </w:t>
      </w:r>
      <w:r w:rsidR="00CC6A5F">
        <w:rPr>
          <w:lang w:val="en-GB"/>
        </w:rPr>
        <w:t>(</w:t>
      </w:r>
      <w:r w:rsidRPr="000050B8">
        <w:rPr>
          <w:lang w:val="en-GB"/>
        </w:rPr>
        <w:t>2000</w:t>
      </w:r>
      <w:r w:rsidR="00CC6A5F">
        <w:rPr>
          <w:lang w:val="en-GB"/>
        </w:rPr>
        <w:t>)</w:t>
      </w:r>
      <w:r w:rsidRPr="000050B8">
        <w:rPr>
          <w:lang w:val="en-GB"/>
        </w:rPr>
        <w:t xml:space="preserve">. World-city network: A new </w:t>
      </w:r>
      <w:proofErr w:type="spellStart"/>
      <w:r w:rsidRPr="000050B8">
        <w:rPr>
          <w:lang w:val="en-GB"/>
        </w:rPr>
        <w:t>metageography</w:t>
      </w:r>
      <w:proofErr w:type="spellEnd"/>
      <w:r w:rsidRPr="000050B8">
        <w:rPr>
          <w:lang w:val="en-GB"/>
        </w:rPr>
        <w:t xml:space="preserve">? </w:t>
      </w:r>
      <w:r w:rsidRPr="000050B8">
        <w:rPr>
          <w:i/>
          <w:lang w:val="en-GB"/>
        </w:rPr>
        <w:t>Annals of the Association of American Geographers</w:t>
      </w:r>
      <w:r w:rsidR="00790751">
        <w:rPr>
          <w:lang w:val="en-GB"/>
        </w:rPr>
        <w:t>,</w:t>
      </w:r>
      <w:r w:rsidRPr="000050B8">
        <w:rPr>
          <w:lang w:val="en-GB"/>
        </w:rPr>
        <w:t xml:space="preserve"> </w:t>
      </w:r>
      <w:r w:rsidRPr="00EB63F1">
        <w:rPr>
          <w:i/>
          <w:lang w:val="en-GB"/>
        </w:rPr>
        <w:t>90</w:t>
      </w:r>
      <w:r w:rsidRPr="000050B8">
        <w:rPr>
          <w:lang w:val="en-GB"/>
        </w:rPr>
        <w:t>(1</w:t>
      </w:r>
      <w:r w:rsidR="00A33EEC" w:rsidRPr="000050B8">
        <w:rPr>
          <w:lang w:val="en-GB"/>
        </w:rPr>
        <w:t>)</w:t>
      </w:r>
      <w:r w:rsidR="00A33EEC">
        <w:rPr>
          <w:lang w:val="en-GB"/>
        </w:rPr>
        <w:t>,</w:t>
      </w:r>
      <w:r w:rsidR="00A33EEC" w:rsidRPr="000050B8">
        <w:rPr>
          <w:lang w:val="en-GB"/>
        </w:rPr>
        <w:t xml:space="preserve"> </w:t>
      </w:r>
      <w:r w:rsidRPr="000050B8">
        <w:rPr>
          <w:lang w:val="en-GB"/>
        </w:rPr>
        <w:t>123</w:t>
      </w:r>
      <w:r w:rsidR="00CA67D4" w:rsidRPr="000050B8">
        <w:rPr>
          <w:rFonts w:eastAsia="TimesTenLTStd-Roman"/>
          <w:szCs w:val="22"/>
          <w:lang w:val="en-GB"/>
        </w:rPr>
        <w:t>–</w:t>
      </w:r>
      <w:r w:rsidRPr="000050B8">
        <w:rPr>
          <w:lang w:val="en-GB"/>
        </w:rPr>
        <w:t>134.</w:t>
      </w:r>
    </w:p>
    <w:p w14:paraId="4B832901" w14:textId="0AA9839B" w:rsidR="006B7A44" w:rsidRPr="000050B8" w:rsidRDefault="006B7A44" w:rsidP="00C43B94">
      <w:pPr>
        <w:spacing w:line="480" w:lineRule="auto"/>
        <w:rPr>
          <w:lang w:val="en-GB"/>
        </w:rPr>
      </w:pPr>
      <w:r w:rsidRPr="000050B8">
        <w:rPr>
          <w:lang w:val="en-GB"/>
        </w:rPr>
        <w:t xml:space="preserve">Boschma, R. </w:t>
      </w:r>
      <w:r w:rsidR="00CC6A5F">
        <w:rPr>
          <w:lang w:val="en-GB"/>
        </w:rPr>
        <w:t>(</w:t>
      </w:r>
      <w:r w:rsidRPr="000050B8">
        <w:rPr>
          <w:lang w:val="en-GB"/>
        </w:rPr>
        <w:t>2005</w:t>
      </w:r>
      <w:r w:rsidR="00CC6A5F">
        <w:rPr>
          <w:lang w:val="en-GB"/>
        </w:rPr>
        <w:t>)</w:t>
      </w:r>
      <w:r w:rsidRPr="000050B8">
        <w:rPr>
          <w:lang w:val="en-GB"/>
        </w:rPr>
        <w:t xml:space="preserve">. Proximity and innovation: A critical assessment. </w:t>
      </w:r>
      <w:r w:rsidRPr="000050B8">
        <w:rPr>
          <w:i/>
          <w:lang w:val="en-GB"/>
        </w:rPr>
        <w:t>Regional Studies</w:t>
      </w:r>
      <w:r w:rsidR="00790751">
        <w:rPr>
          <w:lang w:val="en-GB"/>
        </w:rPr>
        <w:t>,</w:t>
      </w:r>
      <w:r w:rsidRPr="000050B8">
        <w:rPr>
          <w:lang w:val="en-GB"/>
        </w:rPr>
        <w:t xml:space="preserve"> </w:t>
      </w:r>
      <w:r w:rsidRPr="00EB63F1">
        <w:rPr>
          <w:i/>
          <w:lang w:val="en-GB"/>
        </w:rPr>
        <w:t>39</w:t>
      </w:r>
      <w:r w:rsidRPr="000050B8">
        <w:rPr>
          <w:lang w:val="en-GB"/>
        </w:rPr>
        <w:t>(1)</w:t>
      </w:r>
      <w:r w:rsidR="00A33EEC">
        <w:rPr>
          <w:lang w:val="en-GB"/>
        </w:rPr>
        <w:t>,</w:t>
      </w:r>
      <w:r w:rsidRPr="000050B8">
        <w:rPr>
          <w:lang w:val="en-GB"/>
        </w:rPr>
        <w:t xml:space="preserve"> 61</w:t>
      </w:r>
      <w:r w:rsidR="00CA67D4" w:rsidRPr="000050B8">
        <w:rPr>
          <w:rFonts w:eastAsia="TimesTenLTStd-Roman"/>
          <w:szCs w:val="22"/>
          <w:lang w:val="en-GB"/>
        </w:rPr>
        <w:t>–</w:t>
      </w:r>
      <w:r w:rsidRPr="000050B8">
        <w:rPr>
          <w:lang w:val="en-GB"/>
        </w:rPr>
        <w:t>74.</w:t>
      </w:r>
    </w:p>
    <w:p w14:paraId="58498A8C" w14:textId="5A69A9AF" w:rsidR="00563F9B" w:rsidRPr="000050B8" w:rsidRDefault="00563F9B" w:rsidP="00C43B94">
      <w:pPr>
        <w:spacing w:line="480" w:lineRule="auto"/>
        <w:rPr>
          <w:lang w:val="en-GB"/>
        </w:rPr>
      </w:pPr>
      <w:r w:rsidRPr="000050B8">
        <w:rPr>
          <w:lang w:val="en-GB"/>
        </w:rPr>
        <w:lastRenderedPageBreak/>
        <w:t>Boschma, R.</w:t>
      </w:r>
      <w:r w:rsidR="00E83CE0">
        <w:rPr>
          <w:lang w:val="en-GB"/>
        </w:rPr>
        <w:t>,</w:t>
      </w:r>
      <w:r w:rsidR="007D6D17">
        <w:rPr>
          <w:lang w:val="en-GB"/>
        </w:rPr>
        <w:t xml:space="preserve"> &amp;</w:t>
      </w:r>
      <w:r w:rsidRPr="000050B8">
        <w:rPr>
          <w:lang w:val="en-GB"/>
        </w:rPr>
        <w:t xml:space="preserve"> Frenken, K. </w:t>
      </w:r>
      <w:r w:rsidR="00CC6A5F">
        <w:rPr>
          <w:lang w:val="en-GB"/>
        </w:rPr>
        <w:t>(</w:t>
      </w:r>
      <w:r w:rsidRPr="000050B8">
        <w:rPr>
          <w:lang w:val="en-GB"/>
        </w:rPr>
        <w:t>2010</w:t>
      </w:r>
      <w:r w:rsidR="00CC6A5F">
        <w:rPr>
          <w:lang w:val="en-GB"/>
        </w:rPr>
        <w:t>)</w:t>
      </w:r>
      <w:r w:rsidRPr="000050B8">
        <w:rPr>
          <w:lang w:val="en-GB"/>
        </w:rPr>
        <w:t>. The spatial evolution of innovation networks: A proximity perspective</w:t>
      </w:r>
      <w:r w:rsidR="00AC6BA5">
        <w:rPr>
          <w:lang w:val="en-GB"/>
        </w:rPr>
        <w:t>.</w:t>
      </w:r>
      <w:r w:rsidR="00AC6BA5" w:rsidRPr="000050B8">
        <w:rPr>
          <w:lang w:val="en-GB"/>
        </w:rPr>
        <w:t xml:space="preserve"> </w:t>
      </w:r>
      <w:r w:rsidR="00AC6BA5">
        <w:rPr>
          <w:lang w:val="en-GB"/>
        </w:rPr>
        <w:t>I</w:t>
      </w:r>
      <w:r w:rsidR="00AC6BA5" w:rsidRPr="000050B8">
        <w:rPr>
          <w:lang w:val="en-GB"/>
        </w:rPr>
        <w:t xml:space="preserve">n </w:t>
      </w:r>
      <w:r w:rsidRPr="000050B8">
        <w:rPr>
          <w:lang w:val="en-GB"/>
        </w:rPr>
        <w:t xml:space="preserve">R. Boschma </w:t>
      </w:r>
      <w:r w:rsidR="00AC6BA5">
        <w:rPr>
          <w:lang w:val="en-GB"/>
        </w:rPr>
        <w:t>&amp;</w:t>
      </w:r>
      <w:r w:rsidR="00AC6BA5" w:rsidRPr="000050B8">
        <w:rPr>
          <w:lang w:val="en-GB"/>
        </w:rPr>
        <w:t xml:space="preserve"> </w:t>
      </w:r>
      <w:r w:rsidRPr="000050B8">
        <w:rPr>
          <w:lang w:val="en-GB"/>
        </w:rPr>
        <w:t>R. Martin (</w:t>
      </w:r>
      <w:r w:rsidR="00AC6BA5">
        <w:rPr>
          <w:lang w:val="en-GB"/>
        </w:rPr>
        <w:t>E</w:t>
      </w:r>
      <w:r w:rsidR="00AC6BA5" w:rsidRPr="000050B8">
        <w:rPr>
          <w:lang w:val="en-GB"/>
        </w:rPr>
        <w:t>ds</w:t>
      </w:r>
      <w:r w:rsidR="00AC6BA5">
        <w:rPr>
          <w:lang w:val="en-GB"/>
        </w:rPr>
        <w:t>.</w:t>
      </w:r>
      <w:r w:rsidR="00AC6BA5" w:rsidRPr="000050B8">
        <w:rPr>
          <w:lang w:val="en-GB"/>
        </w:rPr>
        <w:t>)</w:t>
      </w:r>
      <w:r w:rsidR="00AC6BA5">
        <w:rPr>
          <w:lang w:val="en-GB"/>
        </w:rPr>
        <w:t>,</w:t>
      </w:r>
      <w:r w:rsidR="00AC6BA5" w:rsidRPr="000050B8">
        <w:rPr>
          <w:lang w:val="en-GB"/>
        </w:rPr>
        <w:t xml:space="preserve"> </w:t>
      </w:r>
      <w:r w:rsidRPr="000050B8">
        <w:rPr>
          <w:i/>
          <w:lang w:val="en-GB"/>
        </w:rPr>
        <w:t>The Handbook of Evolutionary Economic Geography</w:t>
      </w:r>
      <w:r w:rsidR="00AC6BA5">
        <w:rPr>
          <w:i/>
          <w:lang w:val="en-GB"/>
        </w:rPr>
        <w:t xml:space="preserve"> </w:t>
      </w:r>
      <w:r w:rsidR="00AC6BA5">
        <w:rPr>
          <w:lang w:val="en-GB"/>
        </w:rPr>
        <w:t>(</w:t>
      </w:r>
      <w:r w:rsidR="00AC6BA5" w:rsidRPr="000050B8">
        <w:rPr>
          <w:lang w:val="en-GB"/>
        </w:rPr>
        <w:t>pp. 120</w:t>
      </w:r>
      <w:r w:rsidR="00AC6BA5" w:rsidRPr="000050B8">
        <w:rPr>
          <w:rFonts w:eastAsia="TimesTenLTStd-Roman"/>
          <w:szCs w:val="22"/>
          <w:lang w:val="en-GB"/>
        </w:rPr>
        <w:t>–</w:t>
      </w:r>
      <w:r w:rsidR="00AC6BA5" w:rsidRPr="000050B8">
        <w:rPr>
          <w:lang w:val="en-GB"/>
        </w:rPr>
        <w:t>135</w:t>
      </w:r>
      <w:r w:rsidR="00AC6BA5">
        <w:rPr>
          <w:lang w:val="en-GB"/>
        </w:rPr>
        <w:t>)</w:t>
      </w:r>
      <w:r w:rsidRPr="000050B8">
        <w:rPr>
          <w:lang w:val="en-GB"/>
        </w:rPr>
        <w:t>. Cheltenham: Edward Elgar.</w:t>
      </w:r>
    </w:p>
    <w:p w14:paraId="6E409F2D" w14:textId="13F6E39E" w:rsidR="00EA6222" w:rsidRPr="000050B8" w:rsidRDefault="000829B3" w:rsidP="004555B0">
      <w:pPr>
        <w:spacing w:line="480" w:lineRule="auto"/>
        <w:rPr>
          <w:lang w:val="en-GB"/>
        </w:rPr>
      </w:pPr>
      <w:proofErr w:type="spellStart"/>
      <w:r w:rsidRPr="000050B8">
        <w:rPr>
          <w:lang w:val="en-GB"/>
        </w:rPr>
        <w:t>Cairncross</w:t>
      </w:r>
      <w:proofErr w:type="spellEnd"/>
      <w:r w:rsidRPr="000050B8">
        <w:rPr>
          <w:lang w:val="en-GB"/>
        </w:rPr>
        <w:t xml:space="preserve">, F. </w:t>
      </w:r>
      <w:r w:rsidR="00CC6A5F">
        <w:rPr>
          <w:lang w:val="en-GB"/>
        </w:rPr>
        <w:t>(</w:t>
      </w:r>
      <w:r w:rsidRPr="000050B8">
        <w:rPr>
          <w:lang w:val="en-GB"/>
        </w:rPr>
        <w:t>2001</w:t>
      </w:r>
      <w:r w:rsidR="00CC6A5F">
        <w:rPr>
          <w:lang w:val="en-GB"/>
        </w:rPr>
        <w:t>)</w:t>
      </w:r>
      <w:r w:rsidRPr="000050B8">
        <w:rPr>
          <w:lang w:val="en-GB"/>
        </w:rPr>
        <w:t xml:space="preserve">. </w:t>
      </w:r>
      <w:r w:rsidRPr="000050B8">
        <w:rPr>
          <w:i/>
          <w:lang w:val="en-GB"/>
        </w:rPr>
        <w:t>The Death of Distance: How the Communications Revolution is Changing Our Lives</w:t>
      </w:r>
      <w:r w:rsidRPr="000050B8">
        <w:rPr>
          <w:lang w:val="en-GB"/>
        </w:rPr>
        <w:t>. Boston, MA: Harvard Business School Press.</w:t>
      </w:r>
    </w:p>
    <w:p w14:paraId="603E7ECC" w14:textId="229F8DEB" w:rsidR="00774EFC" w:rsidRPr="000050B8" w:rsidRDefault="00EA6222" w:rsidP="004555B0">
      <w:pPr>
        <w:spacing w:line="480" w:lineRule="auto"/>
        <w:rPr>
          <w:szCs w:val="22"/>
          <w:lang w:val="en-GB"/>
        </w:rPr>
      </w:pPr>
      <w:r w:rsidRPr="000050B8">
        <w:rPr>
          <w:szCs w:val="22"/>
          <w:lang w:val="en-GB"/>
        </w:rPr>
        <w:t xml:space="preserve">Combes P-P., Duranton, G., </w:t>
      </w:r>
      <w:proofErr w:type="spellStart"/>
      <w:r w:rsidRPr="000050B8">
        <w:rPr>
          <w:szCs w:val="22"/>
          <w:lang w:val="en-GB" w:eastAsia="en-GB"/>
        </w:rPr>
        <w:t>Gobillon</w:t>
      </w:r>
      <w:proofErr w:type="spellEnd"/>
      <w:r w:rsidRPr="000050B8">
        <w:rPr>
          <w:szCs w:val="22"/>
          <w:lang w:val="en-GB" w:eastAsia="en-GB"/>
        </w:rPr>
        <w:t>, L.</w:t>
      </w:r>
      <w:r w:rsidRPr="000050B8">
        <w:rPr>
          <w:szCs w:val="22"/>
          <w:lang w:val="en-GB"/>
        </w:rPr>
        <w:t>, Puga, D.</w:t>
      </w:r>
      <w:r w:rsidR="00DE3725" w:rsidRPr="000050B8">
        <w:rPr>
          <w:szCs w:val="22"/>
          <w:lang w:val="en-GB"/>
        </w:rPr>
        <w:t>,</w:t>
      </w:r>
      <w:r w:rsidRPr="000050B8">
        <w:rPr>
          <w:szCs w:val="22"/>
          <w:lang w:val="en-GB"/>
        </w:rPr>
        <w:t xml:space="preserve"> </w:t>
      </w:r>
      <w:r w:rsidR="007D6D17">
        <w:rPr>
          <w:szCs w:val="22"/>
          <w:lang w:val="en-GB"/>
        </w:rPr>
        <w:t xml:space="preserve">&amp; </w:t>
      </w:r>
      <w:r w:rsidRPr="000050B8">
        <w:rPr>
          <w:szCs w:val="22"/>
          <w:lang w:val="en-GB"/>
        </w:rPr>
        <w:t xml:space="preserve">Roux, S. </w:t>
      </w:r>
      <w:r w:rsidR="00CC6A5F">
        <w:rPr>
          <w:szCs w:val="22"/>
          <w:lang w:val="en-GB"/>
        </w:rPr>
        <w:t>(</w:t>
      </w:r>
      <w:r w:rsidRPr="000050B8">
        <w:rPr>
          <w:szCs w:val="22"/>
          <w:lang w:val="en-GB" w:eastAsia="en-GB"/>
        </w:rPr>
        <w:t>2012</w:t>
      </w:r>
      <w:r w:rsidR="00CC6A5F">
        <w:rPr>
          <w:szCs w:val="22"/>
          <w:lang w:val="en-GB" w:eastAsia="en-GB"/>
        </w:rPr>
        <w:t>)</w:t>
      </w:r>
      <w:r w:rsidRPr="000050B8">
        <w:rPr>
          <w:szCs w:val="22"/>
          <w:lang w:val="en-GB" w:eastAsia="en-GB"/>
        </w:rPr>
        <w:t xml:space="preserve">. </w:t>
      </w:r>
      <w:r w:rsidRPr="000050B8">
        <w:rPr>
          <w:szCs w:val="22"/>
          <w:lang w:val="en-GB"/>
        </w:rPr>
        <w:t xml:space="preserve">The Productivity Advantages of Large Cities: Distinguishing Agglomeration From Firm Selection. </w:t>
      </w:r>
      <w:proofErr w:type="spellStart"/>
      <w:r w:rsidRPr="000050B8">
        <w:rPr>
          <w:i/>
          <w:szCs w:val="22"/>
          <w:lang w:val="en-GB"/>
        </w:rPr>
        <w:t>Econometrica</w:t>
      </w:r>
      <w:proofErr w:type="spellEnd"/>
      <w:r w:rsidRPr="000050B8">
        <w:rPr>
          <w:szCs w:val="22"/>
          <w:lang w:val="en-GB"/>
        </w:rPr>
        <w:t xml:space="preserve">, </w:t>
      </w:r>
      <w:r w:rsidRPr="00EB63F1">
        <w:rPr>
          <w:i/>
          <w:szCs w:val="22"/>
          <w:lang w:val="en-GB"/>
        </w:rPr>
        <w:t>80</w:t>
      </w:r>
      <w:r w:rsidRPr="000050B8">
        <w:rPr>
          <w:szCs w:val="22"/>
          <w:lang w:val="en-GB"/>
        </w:rPr>
        <w:t>(6</w:t>
      </w:r>
      <w:r w:rsidR="00A33EEC" w:rsidRPr="000050B8">
        <w:rPr>
          <w:szCs w:val="22"/>
          <w:lang w:val="en-GB"/>
        </w:rPr>
        <w:t>)</w:t>
      </w:r>
      <w:r w:rsidR="00A33EEC">
        <w:rPr>
          <w:szCs w:val="22"/>
          <w:lang w:val="en-GB"/>
        </w:rPr>
        <w:t>,</w:t>
      </w:r>
      <w:r w:rsidR="00A33EEC" w:rsidRPr="000050B8">
        <w:rPr>
          <w:szCs w:val="22"/>
          <w:lang w:val="en-GB"/>
        </w:rPr>
        <w:t xml:space="preserve"> </w:t>
      </w:r>
      <w:r w:rsidRPr="000050B8">
        <w:rPr>
          <w:szCs w:val="22"/>
          <w:lang w:val="en-GB"/>
        </w:rPr>
        <w:t>2543–2594.</w:t>
      </w:r>
    </w:p>
    <w:p w14:paraId="746F4DC2" w14:textId="4AF710B8" w:rsidR="005A7C65" w:rsidRPr="000050B8" w:rsidRDefault="00774EFC" w:rsidP="004555B0">
      <w:pPr>
        <w:spacing w:line="480" w:lineRule="auto"/>
        <w:rPr>
          <w:szCs w:val="22"/>
          <w:lang w:val="en-GB"/>
        </w:rPr>
      </w:pPr>
      <w:r w:rsidRPr="00EB63F1">
        <w:rPr>
          <w:lang w:val="en-GB"/>
        </w:rPr>
        <w:t>Cooke</w:t>
      </w:r>
      <w:r w:rsidRPr="00EB63F1">
        <w:rPr>
          <w:caps/>
          <w:lang w:val="en-GB"/>
        </w:rPr>
        <w:t>,</w:t>
      </w:r>
      <w:r w:rsidR="005A7C65" w:rsidRPr="00EB63F1">
        <w:rPr>
          <w:lang w:val="en-GB"/>
        </w:rPr>
        <w:t xml:space="preserve"> P., Gó</w:t>
      </w:r>
      <w:r w:rsidRPr="00EB63F1">
        <w:rPr>
          <w:lang w:val="en-GB"/>
        </w:rPr>
        <w:t xml:space="preserve">mez </w:t>
      </w:r>
      <w:proofErr w:type="spellStart"/>
      <w:r w:rsidRPr="00EB63F1">
        <w:rPr>
          <w:lang w:val="en-GB"/>
        </w:rPr>
        <w:t>Ura</w:t>
      </w:r>
      <w:r w:rsidR="005A7C65" w:rsidRPr="00EB63F1">
        <w:rPr>
          <w:lang w:val="en-GB"/>
        </w:rPr>
        <w:t>n</w:t>
      </w:r>
      <w:r w:rsidRPr="00EB63F1">
        <w:rPr>
          <w:lang w:val="en-GB"/>
        </w:rPr>
        <w:t>ga</w:t>
      </w:r>
      <w:proofErr w:type="spellEnd"/>
      <w:r w:rsidRPr="00EB63F1">
        <w:rPr>
          <w:caps/>
          <w:lang w:val="en-GB"/>
        </w:rPr>
        <w:t>,</w:t>
      </w:r>
      <w:r w:rsidR="005A7C65" w:rsidRPr="00EB63F1">
        <w:rPr>
          <w:lang w:val="en-GB"/>
        </w:rPr>
        <w:t xml:space="preserve"> M.</w:t>
      </w:r>
      <w:r w:rsidR="00DE3725" w:rsidRPr="00EB63F1">
        <w:rPr>
          <w:lang w:val="en-GB"/>
        </w:rPr>
        <w:t>,</w:t>
      </w:r>
      <w:r w:rsidR="005A7C65" w:rsidRPr="00EB63F1">
        <w:rPr>
          <w:lang w:val="en-GB"/>
        </w:rPr>
        <w:t xml:space="preserve"> </w:t>
      </w:r>
      <w:r w:rsidR="007D6D17" w:rsidRPr="00EB63F1">
        <w:rPr>
          <w:lang w:val="en-GB"/>
        </w:rPr>
        <w:t xml:space="preserve">&amp; </w:t>
      </w:r>
      <w:proofErr w:type="spellStart"/>
      <w:r w:rsidR="005A7C65" w:rsidRPr="00EB63F1">
        <w:rPr>
          <w:lang w:val="en-GB"/>
        </w:rPr>
        <w:t>Etxebarrí</w:t>
      </w:r>
      <w:r w:rsidRPr="00EB63F1">
        <w:rPr>
          <w:lang w:val="en-GB"/>
        </w:rPr>
        <w:t>a</w:t>
      </w:r>
      <w:proofErr w:type="spellEnd"/>
      <w:r w:rsidRPr="00EB63F1">
        <w:rPr>
          <w:caps/>
          <w:lang w:val="en-GB"/>
        </w:rPr>
        <w:t>,</w:t>
      </w:r>
      <w:r w:rsidRPr="00EB63F1">
        <w:rPr>
          <w:lang w:val="en-GB"/>
        </w:rPr>
        <w:t xml:space="preserve"> G. </w:t>
      </w:r>
      <w:r w:rsidR="00CC6A5F" w:rsidRPr="00EB63F1">
        <w:rPr>
          <w:lang w:val="en-GB"/>
        </w:rPr>
        <w:t>(</w:t>
      </w:r>
      <w:r w:rsidRPr="00EB63F1">
        <w:rPr>
          <w:lang w:val="en-GB"/>
        </w:rPr>
        <w:t>1998</w:t>
      </w:r>
      <w:r w:rsidR="00CC6A5F" w:rsidRPr="00EB63F1">
        <w:rPr>
          <w:lang w:val="en-GB"/>
        </w:rPr>
        <w:t>)</w:t>
      </w:r>
      <w:r w:rsidRPr="00EB63F1">
        <w:rPr>
          <w:lang w:val="en-GB"/>
        </w:rPr>
        <w:t xml:space="preserve">. </w:t>
      </w:r>
      <w:r w:rsidRPr="000050B8">
        <w:rPr>
          <w:szCs w:val="22"/>
          <w:lang w:val="en-GB"/>
        </w:rPr>
        <w:t>Regional innovation systems: an evolutionary perspective. E</w:t>
      </w:r>
      <w:r w:rsidRPr="000050B8">
        <w:rPr>
          <w:i/>
          <w:szCs w:val="22"/>
          <w:lang w:val="en-GB"/>
        </w:rPr>
        <w:t>nvironment and Planning A</w:t>
      </w:r>
      <w:r w:rsidR="00790751">
        <w:rPr>
          <w:lang w:val="en-GB"/>
        </w:rPr>
        <w:t>,</w:t>
      </w:r>
      <w:r w:rsidRPr="000050B8">
        <w:rPr>
          <w:szCs w:val="22"/>
          <w:lang w:val="en-GB"/>
        </w:rPr>
        <w:t xml:space="preserve"> </w:t>
      </w:r>
      <w:r w:rsidRPr="00EB63F1">
        <w:rPr>
          <w:i/>
          <w:szCs w:val="22"/>
          <w:lang w:val="en-GB"/>
        </w:rPr>
        <w:t>30</w:t>
      </w:r>
      <w:r w:rsidR="00A33EEC">
        <w:rPr>
          <w:szCs w:val="22"/>
          <w:lang w:val="en-GB"/>
        </w:rPr>
        <w:t>(9),</w:t>
      </w:r>
      <w:r w:rsidR="00A33EEC" w:rsidRPr="000050B8">
        <w:rPr>
          <w:szCs w:val="22"/>
          <w:lang w:val="en-GB"/>
        </w:rPr>
        <w:t xml:space="preserve"> </w:t>
      </w:r>
      <w:r w:rsidRPr="000050B8">
        <w:rPr>
          <w:szCs w:val="22"/>
          <w:lang w:val="en-GB"/>
        </w:rPr>
        <w:t>1563</w:t>
      </w:r>
      <w:r w:rsidR="00CA67D4" w:rsidRPr="000050B8">
        <w:rPr>
          <w:rFonts w:eastAsia="TimesTenLTStd-Roman"/>
          <w:szCs w:val="22"/>
          <w:lang w:val="en-GB"/>
        </w:rPr>
        <w:t>–</w:t>
      </w:r>
      <w:r w:rsidRPr="000050B8">
        <w:rPr>
          <w:szCs w:val="22"/>
          <w:lang w:val="en-GB"/>
        </w:rPr>
        <w:t>1584</w:t>
      </w:r>
    </w:p>
    <w:p w14:paraId="38446252" w14:textId="22916DEE" w:rsidR="00CA116E" w:rsidRPr="000050B8" w:rsidRDefault="005A7C65" w:rsidP="004555B0">
      <w:pPr>
        <w:spacing w:line="480" w:lineRule="auto"/>
        <w:rPr>
          <w:szCs w:val="22"/>
          <w:lang w:val="en-GB" w:eastAsia="en-GB"/>
        </w:rPr>
      </w:pPr>
      <w:r w:rsidRPr="000050B8">
        <w:rPr>
          <w:szCs w:val="22"/>
          <w:lang w:val="en-GB" w:eastAsia="en-GB"/>
        </w:rPr>
        <w:t>Cooke, P.</w:t>
      </w:r>
      <w:r w:rsidR="00E83CE0">
        <w:rPr>
          <w:szCs w:val="22"/>
          <w:lang w:val="en-GB" w:eastAsia="en-GB"/>
        </w:rPr>
        <w:t>,</w:t>
      </w:r>
      <w:r w:rsidRPr="000050B8">
        <w:rPr>
          <w:szCs w:val="22"/>
          <w:lang w:val="en-GB" w:eastAsia="en-GB"/>
        </w:rPr>
        <w:t xml:space="preserve"> </w:t>
      </w:r>
      <w:r w:rsidR="007D6D17">
        <w:rPr>
          <w:szCs w:val="22"/>
          <w:lang w:val="en-GB" w:eastAsia="en-GB"/>
        </w:rPr>
        <w:t>&amp;</w:t>
      </w:r>
      <w:r w:rsidR="007D6D17" w:rsidRPr="000050B8">
        <w:rPr>
          <w:szCs w:val="22"/>
          <w:lang w:val="en-GB" w:eastAsia="en-GB"/>
        </w:rPr>
        <w:t xml:space="preserve"> </w:t>
      </w:r>
      <w:r w:rsidRPr="000050B8">
        <w:rPr>
          <w:szCs w:val="22"/>
          <w:lang w:val="en-GB" w:eastAsia="en-GB"/>
        </w:rPr>
        <w:t xml:space="preserve">Morgan, K. </w:t>
      </w:r>
      <w:r w:rsidR="00CC6A5F">
        <w:rPr>
          <w:szCs w:val="22"/>
          <w:lang w:val="en-GB" w:eastAsia="en-GB"/>
        </w:rPr>
        <w:t>(</w:t>
      </w:r>
      <w:r w:rsidRPr="000050B8">
        <w:rPr>
          <w:szCs w:val="22"/>
          <w:lang w:val="en-GB" w:eastAsia="en-GB"/>
        </w:rPr>
        <w:t>1994</w:t>
      </w:r>
      <w:r w:rsidR="00CC6A5F">
        <w:rPr>
          <w:szCs w:val="22"/>
          <w:lang w:val="en-GB" w:eastAsia="en-GB"/>
        </w:rPr>
        <w:t>)</w:t>
      </w:r>
      <w:r w:rsidRPr="000050B8">
        <w:rPr>
          <w:szCs w:val="22"/>
          <w:lang w:val="en-GB" w:eastAsia="en-GB"/>
        </w:rPr>
        <w:t xml:space="preserve">. Growth regions under duress: renewal strategies in Baden-Württemberg and Emilia Romagna. In A. Amin </w:t>
      </w:r>
      <w:r w:rsidR="00AC6BA5">
        <w:rPr>
          <w:szCs w:val="22"/>
          <w:lang w:val="en-GB" w:eastAsia="en-GB"/>
        </w:rPr>
        <w:t>&amp;</w:t>
      </w:r>
      <w:r w:rsidR="00AC6BA5" w:rsidRPr="000050B8">
        <w:rPr>
          <w:szCs w:val="22"/>
          <w:lang w:val="en-GB" w:eastAsia="en-GB"/>
        </w:rPr>
        <w:t xml:space="preserve"> </w:t>
      </w:r>
      <w:r w:rsidRPr="000050B8">
        <w:rPr>
          <w:szCs w:val="22"/>
          <w:lang w:val="en-GB" w:eastAsia="en-GB"/>
        </w:rPr>
        <w:t>N. Thrift</w:t>
      </w:r>
      <w:r w:rsidR="00AC6BA5">
        <w:rPr>
          <w:szCs w:val="22"/>
          <w:lang w:val="en-GB" w:eastAsia="en-GB"/>
        </w:rPr>
        <w:t xml:space="preserve"> (Eds.)</w:t>
      </w:r>
      <w:r w:rsidRPr="000050B8">
        <w:rPr>
          <w:szCs w:val="22"/>
          <w:lang w:val="en-GB" w:eastAsia="en-GB"/>
        </w:rPr>
        <w:t xml:space="preserve">, </w:t>
      </w:r>
      <w:r w:rsidRPr="000050B8">
        <w:rPr>
          <w:i/>
          <w:iCs/>
          <w:szCs w:val="22"/>
          <w:lang w:val="en-GB" w:eastAsia="en-GB"/>
        </w:rPr>
        <w:t>Globalization, institutions, and regional development in Europe</w:t>
      </w:r>
      <w:r w:rsidRPr="000050B8">
        <w:rPr>
          <w:szCs w:val="22"/>
          <w:lang w:val="en-GB" w:eastAsia="en-GB"/>
        </w:rPr>
        <w:t xml:space="preserve"> </w:t>
      </w:r>
      <w:r w:rsidR="00AC6BA5">
        <w:rPr>
          <w:szCs w:val="22"/>
          <w:lang w:val="en-GB" w:eastAsia="en-GB"/>
        </w:rPr>
        <w:t xml:space="preserve">(pp. </w:t>
      </w:r>
      <w:r w:rsidRPr="000050B8">
        <w:rPr>
          <w:szCs w:val="22"/>
          <w:lang w:val="en-GB" w:eastAsia="en-GB"/>
        </w:rPr>
        <w:t>91</w:t>
      </w:r>
      <w:r w:rsidR="00CA67D4" w:rsidRPr="000050B8">
        <w:rPr>
          <w:rFonts w:eastAsia="TimesTenLTStd-Roman"/>
          <w:szCs w:val="22"/>
          <w:lang w:val="en-GB"/>
        </w:rPr>
        <w:t>–</w:t>
      </w:r>
      <w:r w:rsidRPr="000050B8">
        <w:rPr>
          <w:szCs w:val="22"/>
          <w:lang w:val="en-GB" w:eastAsia="en-GB"/>
        </w:rPr>
        <w:t>117</w:t>
      </w:r>
      <w:r w:rsidR="00AC6BA5">
        <w:rPr>
          <w:szCs w:val="22"/>
          <w:lang w:val="en-GB" w:eastAsia="en-GB"/>
        </w:rPr>
        <w:t>)</w:t>
      </w:r>
      <w:r w:rsidRPr="000050B8">
        <w:rPr>
          <w:szCs w:val="22"/>
          <w:lang w:val="en-GB" w:eastAsia="en-GB"/>
        </w:rPr>
        <w:t>. Oxford: Oxford University Press.</w:t>
      </w:r>
    </w:p>
    <w:p w14:paraId="161873D1" w14:textId="40331967" w:rsidR="00CA116E" w:rsidRPr="000050B8" w:rsidRDefault="00CA116E" w:rsidP="004555B0">
      <w:pPr>
        <w:spacing w:line="480" w:lineRule="auto"/>
        <w:rPr>
          <w:sz w:val="28"/>
          <w:szCs w:val="22"/>
          <w:lang w:val="en-GB" w:eastAsia="en-GB"/>
        </w:rPr>
      </w:pPr>
      <w:r w:rsidRPr="000050B8">
        <w:rPr>
          <w:rFonts w:eastAsia="TimesTenLTStd-Roman"/>
          <w:szCs w:val="22"/>
          <w:lang w:val="en-GB"/>
        </w:rPr>
        <w:t xml:space="preserve">Crescenzi, R., Rodríguez-Pose, A., </w:t>
      </w:r>
      <w:r w:rsidR="007D6D17">
        <w:rPr>
          <w:rFonts w:eastAsia="TimesTenLTStd-Roman"/>
          <w:szCs w:val="22"/>
          <w:lang w:val="en-GB"/>
        </w:rPr>
        <w:t xml:space="preserve">&amp; </w:t>
      </w:r>
      <w:r w:rsidRPr="000050B8">
        <w:rPr>
          <w:rFonts w:eastAsia="TimesTenLTStd-Roman"/>
          <w:szCs w:val="22"/>
          <w:lang w:val="en-GB"/>
        </w:rPr>
        <w:t xml:space="preserve">Storper, M. </w:t>
      </w:r>
      <w:r w:rsidR="00CC6A5F">
        <w:rPr>
          <w:rFonts w:eastAsia="TimesTenLTStd-Roman"/>
          <w:szCs w:val="22"/>
          <w:lang w:val="en-GB"/>
        </w:rPr>
        <w:t>(</w:t>
      </w:r>
      <w:r w:rsidRPr="000050B8">
        <w:rPr>
          <w:rFonts w:eastAsia="TimesTenLTStd-Roman"/>
          <w:szCs w:val="22"/>
          <w:lang w:val="en-GB"/>
        </w:rPr>
        <w:t>2007</w:t>
      </w:r>
      <w:r w:rsidR="00CC6A5F">
        <w:rPr>
          <w:rFonts w:eastAsia="TimesTenLTStd-Roman"/>
          <w:szCs w:val="22"/>
          <w:lang w:val="en-GB"/>
        </w:rPr>
        <w:t>)</w:t>
      </w:r>
      <w:r w:rsidRPr="000050B8">
        <w:rPr>
          <w:rFonts w:eastAsia="TimesTenLTStd-Roman"/>
          <w:szCs w:val="22"/>
          <w:lang w:val="en-GB"/>
        </w:rPr>
        <w:t xml:space="preserve">. The territorial dynamics of innovation: a Europe-United States comparative analysis. </w:t>
      </w:r>
      <w:r w:rsidRPr="000050B8">
        <w:rPr>
          <w:rFonts w:eastAsia="TimesTenLTStd-Roman"/>
          <w:i/>
          <w:szCs w:val="22"/>
          <w:lang w:val="en-GB"/>
        </w:rPr>
        <w:t>Journal of Economic Geography</w:t>
      </w:r>
      <w:r w:rsidRPr="000050B8">
        <w:rPr>
          <w:rFonts w:eastAsia="TimesTenLTStd-Roman"/>
          <w:szCs w:val="22"/>
          <w:lang w:val="en-GB"/>
        </w:rPr>
        <w:t xml:space="preserve">, </w:t>
      </w:r>
      <w:r w:rsidRPr="00EB63F1">
        <w:rPr>
          <w:rFonts w:eastAsia="TimesTenLTStd-Roman"/>
          <w:i/>
          <w:szCs w:val="22"/>
          <w:lang w:val="en-GB"/>
        </w:rPr>
        <w:t>7</w:t>
      </w:r>
      <w:r w:rsidR="00A33EEC">
        <w:rPr>
          <w:rFonts w:eastAsia="TimesTenLTStd-Roman"/>
          <w:szCs w:val="22"/>
          <w:lang w:val="en-GB"/>
        </w:rPr>
        <w:t>(6),</w:t>
      </w:r>
      <w:r w:rsidR="00A33EEC" w:rsidRPr="000050B8">
        <w:rPr>
          <w:rFonts w:eastAsia="TimesTenLTStd-Roman"/>
          <w:szCs w:val="22"/>
          <w:lang w:val="en-GB"/>
        </w:rPr>
        <w:t xml:space="preserve"> </w:t>
      </w:r>
      <w:r w:rsidRPr="000050B8">
        <w:rPr>
          <w:rFonts w:eastAsia="TimesTenLTStd-Roman"/>
          <w:szCs w:val="22"/>
          <w:lang w:val="en-GB"/>
        </w:rPr>
        <w:t>673–709.</w:t>
      </w:r>
    </w:p>
    <w:p w14:paraId="2C77137E" w14:textId="71BDE503" w:rsidR="00A103A3" w:rsidRPr="000050B8" w:rsidRDefault="00A139C5" w:rsidP="00C43B94">
      <w:pPr>
        <w:spacing w:line="480" w:lineRule="auto"/>
        <w:rPr>
          <w:szCs w:val="22"/>
          <w:lang w:val="en-GB" w:eastAsia="en-GB"/>
        </w:rPr>
      </w:pPr>
      <w:r w:rsidRPr="00FF0015">
        <w:rPr>
          <w:szCs w:val="22"/>
          <w:lang w:val="en-GB" w:eastAsia="en-GB"/>
        </w:rPr>
        <w:t>De la Roca, J.</w:t>
      </w:r>
      <w:r w:rsidR="00DE3725" w:rsidRPr="00FF0015">
        <w:rPr>
          <w:szCs w:val="22"/>
          <w:lang w:val="en-GB" w:eastAsia="en-GB"/>
        </w:rPr>
        <w:t>,</w:t>
      </w:r>
      <w:r w:rsidR="007D6D17">
        <w:rPr>
          <w:szCs w:val="22"/>
          <w:lang w:val="en-GB" w:eastAsia="en-GB"/>
        </w:rPr>
        <w:t xml:space="preserve"> &amp;</w:t>
      </w:r>
      <w:r w:rsidRPr="00FF0015">
        <w:rPr>
          <w:szCs w:val="22"/>
          <w:lang w:val="en-GB" w:eastAsia="en-GB"/>
        </w:rPr>
        <w:t xml:space="preserve"> Puga; D. </w:t>
      </w:r>
      <w:r w:rsidR="00CC6A5F">
        <w:rPr>
          <w:szCs w:val="22"/>
          <w:lang w:val="en-GB" w:eastAsia="en-GB"/>
        </w:rPr>
        <w:t>(</w:t>
      </w:r>
      <w:r w:rsidRPr="00FF0015">
        <w:rPr>
          <w:szCs w:val="22"/>
          <w:lang w:val="en-GB" w:eastAsia="en-GB"/>
        </w:rPr>
        <w:t>2017</w:t>
      </w:r>
      <w:r w:rsidR="00CC6A5F">
        <w:rPr>
          <w:szCs w:val="22"/>
          <w:lang w:val="en-GB" w:eastAsia="en-GB"/>
        </w:rPr>
        <w:t>)</w:t>
      </w:r>
      <w:r w:rsidRPr="00FF0015">
        <w:rPr>
          <w:szCs w:val="22"/>
          <w:lang w:val="en-GB" w:eastAsia="en-GB"/>
        </w:rPr>
        <w:t xml:space="preserve">. </w:t>
      </w:r>
      <w:r w:rsidRPr="000050B8">
        <w:rPr>
          <w:szCs w:val="22"/>
          <w:lang w:val="en-GB" w:eastAsia="en-GB"/>
        </w:rPr>
        <w:t xml:space="preserve">Learning by working in big cities. </w:t>
      </w:r>
      <w:r w:rsidRPr="000050B8">
        <w:rPr>
          <w:i/>
          <w:szCs w:val="22"/>
          <w:lang w:val="en-GB" w:eastAsia="en-GB"/>
        </w:rPr>
        <w:t>Review of Economic Studies</w:t>
      </w:r>
      <w:r w:rsidR="00790751">
        <w:rPr>
          <w:lang w:val="en-GB"/>
        </w:rPr>
        <w:t>,</w:t>
      </w:r>
      <w:r w:rsidRPr="000050B8">
        <w:rPr>
          <w:szCs w:val="22"/>
          <w:lang w:val="en-GB" w:eastAsia="en-GB"/>
        </w:rPr>
        <w:t xml:space="preserve"> </w:t>
      </w:r>
      <w:r w:rsidRPr="00EB63F1">
        <w:rPr>
          <w:i/>
          <w:szCs w:val="22"/>
          <w:lang w:val="en-GB" w:eastAsia="en-GB"/>
        </w:rPr>
        <w:t>84</w:t>
      </w:r>
      <w:r w:rsidRPr="000050B8">
        <w:rPr>
          <w:szCs w:val="22"/>
          <w:lang w:val="en-GB" w:eastAsia="en-GB"/>
        </w:rPr>
        <w:t>(1</w:t>
      </w:r>
      <w:r w:rsidR="00A33EEC" w:rsidRPr="000050B8">
        <w:rPr>
          <w:szCs w:val="22"/>
          <w:lang w:val="en-GB" w:eastAsia="en-GB"/>
        </w:rPr>
        <w:t>)</w:t>
      </w:r>
      <w:r w:rsidR="00A33EEC">
        <w:rPr>
          <w:szCs w:val="22"/>
          <w:lang w:val="en-GB" w:eastAsia="en-GB"/>
        </w:rPr>
        <w:t>,</w:t>
      </w:r>
      <w:r w:rsidR="00A33EEC" w:rsidRPr="000050B8">
        <w:rPr>
          <w:szCs w:val="22"/>
          <w:lang w:val="en-GB" w:eastAsia="en-GB"/>
        </w:rPr>
        <w:t xml:space="preserve"> </w:t>
      </w:r>
      <w:r w:rsidRPr="000050B8">
        <w:rPr>
          <w:szCs w:val="22"/>
          <w:lang w:val="en-GB" w:eastAsia="en-GB"/>
        </w:rPr>
        <w:t>106</w:t>
      </w:r>
      <w:r w:rsidR="00CA67D4" w:rsidRPr="000050B8">
        <w:rPr>
          <w:rFonts w:eastAsia="TimesTenLTStd-Roman"/>
          <w:szCs w:val="22"/>
          <w:lang w:val="en-GB"/>
        </w:rPr>
        <w:t>–</w:t>
      </w:r>
      <w:r w:rsidRPr="000050B8">
        <w:rPr>
          <w:szCs w:val="22"/>
          <w:lang w:val="en-GB" w:eastAsia="en-GB"/>
        </w:rPr>
        <w:t>142.</w:t>
      </w:r>
    </w:p>
    <w:p w14:paraId="58A560F6" w14:textId="4A4D765F" w:rsidR="00DE3725" w:rsidRPr="000050B8" w:rsidRDefault="00A103A3" w:rsidP="004555B0">
      <w:pPr>
        <w:spacing w:line="480" w:lineRule="auto"/>
        <w:rPr>
          <w:szCs w:val="22"/>
          <w:lang w:val="en-GB" w:eastAsia="en-GB"/>
        </w:rPr>
      </w:pPr>
      <w:proofErr w:type="spellStart"/>
      <w:r w:rsidRPr="000050B8">
        <w:rPr>
          <w:szCs w:val="22"/>
          <w:lang w:val="en-GB" w:eastAsia="en-GB"/>
        </w:rPr>
        <w:t>Doloreux</w:t>
      </w:r>
      <w:proofErr w:type="spellEnd"/>
      <w:r w:rsidRPr="000050B8">
        <w:rPr>
          <w:szCs w:val="22"/>
          <w:lang w:val="en-GB" w:eastAsia="en-GB"/>
        </w:rPr>
        <w:t xml:space="preserve">, D. </w:t>
      </w:r>
      <w:r w:rsidR="00CC6A5F">
        <w:rPr>
          <w:szCs w:val="22"/>
          <w:lang w:val="en-GB" w:eastAsia="en-GB"/>
        </w:rPr>
        <w:t>(</w:t>
      </w:r>
      <w:r w:rsidRPr="000050B8">
        <w:rPr>
          <w:szCs w:val="22"/>
          <w:lang w:val="en-GB" w:eastAsia="en-GB"/>
        </w:rPr>
        <w:t>2003</w:t>
      </w:r>
      <w:r w:rsidR="00CC6A5F">
        <w:rPr>
          <w:szCs w:val="22"/>
          <w:lang w:val="en-GB" w:eastAsia="en-GB"/>
        </w:rPr>
        <w:t>)</w:t>
      </w:r>
      <w:r w:rsidRPr="000050B8">
        <w:rPr>
          <w:szCs w:val="22"/>
          <w:lang w:val="en-GB" w:eastAsia="en-GB"/>
        </w:rPr>
        <w:t xml:space="preserve">. Regional innovation systems in the periphery: The case of the </w:t>
      </w:r>
      <w:proofErr w:type="spellStart"/>
      <w:r w:rsidRPr="000050B8">
        <w:rPr>
          <w:szCs w:val="22"/>
          <w:lang w:val="en-GB" w:eastAsia="en-GB"/>
        </w:rPr>
        <w:t>Beauce</w:t>
      </w:r>
      <w:proofErr w:type="spellEnd"/>
      <w:r w:rsidRPr="000050B8">
        <w:rPr>
          <w:szCs w:val="22"/>
          <w:lang w:val="en-GB" w:eastAsia="en-GB"/>
        </w:rPr>
        <w:t xml:space="preserve"> in Québec (Canada). </w:t>
      </w:r>
      <w:r w:rsidRPr="000050B8">
        <w:rPr>
          <w:i/>
          <w:szCs w:val="22"/>
          <w:lang w:val="en-GB" w:eastAsia="en-GB"/>
        </w:rPr>
        <w:t>International Journal of Innovation Management</w:t>
      </w:r>
      <w:r w:rsidR="00790751">
        <w:rPr>
          <w:lang w:val="en-GB"/>
        </w:rPr>
        <w:t>,</w:t>
      </w:r>
      <w:r w:rsidRPr="000050B8">
        <w:rPr>
          <w:szCs w:val="22"/>
          <w:lang w:val="en-GB" w:eastAsia="en-GB"/>
        </w:rPr>
        <w:t xml:space="preserve"> </w:t>
      </w:r>
      <w:r w:rsidRPr="00EB63F1">
        <w:rPr>
          <w:i/>
          <w:szCs w:val="22"/>
          <w:lang w:val="en-GB" w:eastAsia="en-GB"/>
        </w:rPr>
        <w:t>7</w:t>
      </w:r>
      <w:r w:rsidR="00A33EEC">
        <w:rPr>
          <w:szCs w:val="22"/>
          <w:lang w:val="en-GB" w:eastAsia="en-GB"/>
        </w:rPr>
        <w:t>(1),</w:t>
      </w:r>
      <w:r w:rsidR="00A33EEC" w:rsidRPr="000050B8">
        <w:rPr>
          <w:szCs w:val="22"/>
          <w:lang w:val="en-GB" w:eastAsia="en-GB"/>
        </w:rPr>
        <w:t xml:space="preserve"> </w:t>
      </w:r>
      <w:r w:rsidRPr="000050B8">
        <w:rPr>
          <w:szCs w:val="22"/>
          <w:lang w:val="en-GB" w:eastAsia="en-GB"/>
        </w:rPr>
        <w:t>67</w:t>
      </w:r>
      <w:r w:rsidR="00CA67D4" w:rsidRPr="000050B8">
        <w:rPr>
          <w:rFonts w:eastAsia="TimesTenLTStd-Roman"/>
          <w:szCs w:val="22"/>
          <w:lang w:val="en-GB"/>
        </w:rPr>
        <w:t>–</w:t>
      </w:r>
      <w:r w:rsidRPr="000050B8">
        <w:rPr>
          <w:szCs w:val="22"/>
          <w:lang w:val="en-GB" w:eastAsia="en-GB"/>
        </w:rPr>
        <w:t>94.</w:t>
      </w:r>
    </w:p>
    <w:p w14:paraId="187CC373" w14:textId="207D37B9" w:rsidR="00DE3725" w:rsidRPr="000050B8" w:rsidRDefault="00DE3725" w:rsidP="004555B0">
      <w:pPr>
        <w:pStyle w:val="NormalWeb"/>
        <w:spacing w:line="480" w:lineRule="auto"/>
        <w:rPr>
          <w:rFonts w:ascii="Times New Roman" w:hAnsi="Times New Roman"/>
          <w:sz w:val="24"/>
          <w:szCs w:val="24"/>
          <w:lang w:val="en-GB"/>
        </w:rPr>
      </w:pPr>
      <w:proofErr w:type="spellStart"/>
      <w:r w:rsidRPr="000050B8">
        <w:rPr>
          <w:rFonts w:ascii="Times New Roman" w:hAnsi="Times New Roman"/>
          <w:sz w:val="24"/>
          <w:szCs w:val="24"/>
          <w:lang w:val="en-GB"/>
        </w:rPr>
        <w:lastRenderedPageBreak/>
        <w:t>Doloreux</w:t>
      </w:r>
      <w:proofErr w:type="spellEnd"/>
      <w:r w:rsidRPr="000050B8">
        <w:rPr>
          <w:rFonts w:ascii="Times New Roman" w:hAnsi="Times New Roman"/>
          <w:sz w:val="24"/>
          <w:szCs w:val="24"/>
          <w:lang w:val="en-GB"/>
        </w:rPr>
        <w:t>, D.</w:t>
      </w:r>
      <w:r w:rsidR="00E83CE0">
        <w:rPr>
          <w:rFonts w:ascii="Times New Roman" w:hAnsi="Times New Roman"/>
          <w:sz w:val="24"/>
          <w:szCs w:val="24"/>
          <w:lang w:val="en-GB"/>
        </w:rPr>
        <w:t>,</w:t>
      </w:r>
      <w:r w:rsidR="007D6D17">
        <w:rPr>
          <w:rFonts w:ascii="Times New Roman" w:hAnsi="Times New Roman"/>
          <w:sz w:val="24"/>
          <w:szCs w:val="24"/>
          <w:lang w:val="en-GB"/>
        </w:rPr>
        <w:t xml:space="preserve"> &amp;</w:t>
      </w:r>
      <w:r w:rsidRPr="000050B8">
        <w:rPr>
          <w:rFonts w:ascii="Times New Roman" w:hAnsi="Times New Roman"/>
          <w:sz w:val="24"/>
          <w:szCs w:val="24"/>
          <w:lang w:val="en-GB"/>
        </w:rPr>
        <w:t xml:space="preserve"> Dionne, S. </w:t>
      </w:r>
      <w:r w:rsidR="00CC6A5F">
        <w:rPr>
          <w:rFonts w:ascii="Times New Roman" w:hAnsi="Times New Roman"/>
          <w:sz w:val="24"/>
          <w:szCs w:val="24"/>
          <w:lang w:val="en-GB"/>
        </w:rPr>
        <w:t>(</w:t>
      </w:r>
      <w:r w:rsidRPr="000050B8">
        <w:rPr>
          <w:rFonts w:ascii="Times New Roman" w:hAnsi="Times New Roman"/>
          <w:sz w:val="24"/>
          <w:szCs w:val="24"/>
          <w:lang w:val="en-GB"/>
        </w:rPr>
        <w:t>2008</w:t>
      </w:r>
      <w:r w:rsidR="00CC6A5F">
        <w:rPr>
          <w:rFonts w:ascii="Times New Roman" w:hAnsi="Times New Roman"/>
          <w:sz w:val="24"/>
          <w:szCs w:val="24"/>
          <w:lang w:val="en-GB"/>
        </w:rPr>
        <w:t>)</w:t>
      </w:r>
      <w:r w:rsidRPr="000050B8">
        <w:rPr>
          <w:rFonts w:ascii="Times New Roman" w:hAnsi="Times New Roman"/>
          <w:sz w:val="24"/>
          <w:szCs w:val="24"/>
          <w:lang w:val="en-GB"/>
        </w:rPr>
        <w:t xml:space="preserve">. Is regional innovation system development possible in peripheral regions? Some evidence from the case of La </w:t>
      </w:r>
      <w:proofErr w:type="spellStart"/>
      <w:r w:rsidRPr="000050B8">
        <w:rPr>
          <w:rFonts w:ascii="Times New Roman" w:hAnsi="Times New Roman"/>
          <w:sz w:val="24"/>
          <w:szCs w:val="24"/>
          <w:lang w:val="en-GB"/>
        </w:rPr>
        <w:t>Pocatière</w:t>
      </w:r>
      <w:proofErr w:type="spellEnd"/>
      <w:r w:rsidRPr="000050B8">
        <w:rPr>
          <w:rFonts w:ascii="Times New Roman" w:hAnsi="Times New Roman"/>
          <w:sz w:val="24"/>
          <w:szCs w:val="24"/>
          <w:lang w:val="en-GB"/>
        </w:rPr>
        <w:t xml:space="preserve">, Canada. </w:t>
      </w:r>
      <w:r w:rsidRPr="000050B8">
        <w:rPr>
          <w:rFonts w:ascii="Times New Roman" w:hAnsi="Times New Roman"/>
          <w:i/>
          <w:iCs/>
          <w:sz w:val="24"/>
          <w:szCs w:val="24"/>
          <w:lang w:val="en-GB"/>
        </w:rPr>
        <w:t>Entrepreneurship &amp; Regional Development</w:t>
      </w:r>
      <w:r w:rsidR="00790751">
        <w:rPr>
          <w:lang w:val="en-GB"/>
        </w:rPr>
        <w:t>,</w:t>
      </w:r>
      <w:r w:rsidRPr="000050B8">
        <w:rPr>
          <w:rFonts w:ascii="Times New Roman" w:hAnsi="Times New Roman"/>
          <w:sz w:val="24"/>
          <w:szCs w:val="24"/>
          <w:lang w:val="en-GB"/>
        </w:rPr>
        <w:t xml:space="preserve"> </w:t>
      </w:r>
      <w:r w:rsidRPr="00EB63F1">
        <w:rPr>
          <w:rFonts w:ascii="Times New Roman" w:hAnsi="Times New Roman"/>
          <w:i/>
          <w:iCs/>
          <w:sz w:val="24"/>
          <w:szCs w:val="24"/>
          <w:lang w:val="en-GB"/>
        </w:rPr>
        <w:t>20</w:t>
      </w:r>
      <w:r w:rsidR="00A33EEC">
        <w:rPr>
          <w:rFonts w:ascii="Times New Roman" w:hAnsi="Times New Roman"/>
          <w:iCs/>
          <w:sz w:val="24"/>
          <w:szCs w:val="24"/>
          <w:lang w:val="en-GB"/>
        </w:rPr>
        <w:t>(3),</w:t>
      </w:r>
      <w:r w:rsidR="00A33EEC" w:rsidRPr="000050B8">
        <w:rPr>
          <w:rFonts w:ascii="Times New Roman" w:hAnsi="Times New Roman"/>
          <w:sz w:val="24"/>
          <w:szCs w:val="24"/>
          <w:lang w:val="en-GB"/>
        </w:rPr>
        <w:t xml:space="preserve"> </w:t>
      </w:r>
      <w:r w:rsidRPr="000050B8">
        <w:rPr>
          <w:rFonts w:ascii="Times New Roman" w:hAnsi="Times New Roman"/>
          <w:sz w:val="24"/>
          <w:szCs w:val="24"/>
          <w:lang w:val="en-GB"/>
        </w:rPr>
        <w:t xml:space="preserve">259–283. </w:t>
      </w:r>
    </w:p>
    <w:p w14:paraId="080CABBF" w14:textId="30B45240" w:rsidR="00D27E2B" w:rsidRPr="00C437E1" w:rsidRDefault="00D27E2B" w:rsidP="004555B0">
      <w:pPr>
        <w:pStyle w:val="NormalWeb"/>
        <w:spacing w:line="480" w:lineRule="auto"/>
        <w:rPr>
          <w:rFonts w:ascii="Times New Roman" w:hAnsi="Times New Roman"/>
          <w:sz w:val="24"/>
          <w:szCs w:val="24"/>
          <w:lang w:val="en-GB"/>
        </w:rPr>
      </w:pPr>
      <w:proofErr w:type="spellStart"/>
      <w:r w:rsidRPr="000050B8">
        <w:rPr>
          <w:rFonts w:ascii="Times New Roman" w:hAnsi="Times New Roman"/>
          <w:sz w:val="24"/>
          <w:szCs w:val="24"/>
          <w:lang w:val="en-GB"/>
        </w:rPr>
        <w:t>Doloreux</w:t>
      </w:r>
      <w:proofErr w:type="spellEnd"/>
      <w:r w:rsidRPr="000050B8">
        <w:rPr>
          <w:rFonts w:ascii="Times New Roman" w:hAnsi="Times New Roman"/>
          <w:sz w:val="24"/>
          <w:szCs w:val="24"/>
          <w:lang w:val="en-GB"/>
        </w:rPr>
        <w:t>, D.,</w:t>
      </w:r>
      <w:r w:rsidR="007D6D17">
        <w:rPr>
          <w:rFonts w:ascii="Times New Roman" w:hAnsi="Times New Roman"/>
          <w:sz w:val="24"/>
          <w:szCs w:val="24"/>
          <w:lang w:val="en-GB"/>
        </w:rPr>
        <w:t xml:space="preserve"> &amp;</w:t>
      </w:r>
      <w:r w:rsidRPr="000050B8">
        <w:rPr>
          <w:rFonts w:ascii="Times New Roman" w:hAnsi="Times New Roman"/>
          <w:sz w:val="24"/>
          <w:szCs w:val="24"/>
          <w:lang w:val="en-GB"/>
        </w:rPr>
        <w:t xml:space="preserve"> Shearmur R. </w:t>
      </w:r>
      <w:r w:rsidR="00CC6A5F">
        <w:rPr>
          <w:rFonts w:ascii="Times New Roman" w:hAnsi="Times New Roman"/>
          <w:sz w:val="24"/>
          <w:szCs w:val="24"/>
          <w:lang w:val="en-GB"/>
        </w:rPr>
        <w:t>(</w:t>
      </w:r>
      <w:r w:rsidRPr="000050B8">
        <w:rPr>
          <w:rFonts w:ascii="Times New Roman" w:hAnsi="Times New Roman"/>
          <w:sz w:val="24"/>
          <w:szCs w:val="24"/>
          <w:lang w:val="en-GB"/>
        </w:rPr>
        <w:t>2012</w:t>
      </w:r>
      <w:r w:rsidR="00CC6A5F">
        <w:rPr>
          <w:rFonts w:ascii="Times New Roman" w:hAnsi="Times New Roman"/>
          <w:sz w:val="24"/>
          <w:szCs w:val="24"/>
          <w:lang w:val="en-GB"/>
        </w:rPr>
        <w:t>)</w:t>
      </w:r>
      <w:r w:rsidRPr="000050B8">
        <w:rPr>
          <w:rFonts w:ascii="Times New Roman" w:hAnsi="Times New Roman"/>
          <w:sz w:val="24"/>
          <w:szCs w:val="24"/>
          <w:lang w:val="en-GB"/>
        </w:rPr>
        <w:t xml:space="preserve">. Collaboration, information and the geography of innovation in knowledge intensive business services. </w:t>
      </w:r>
      <w:r w:rsidRPr="00E63EA5">
        <w:rPr>
          <w:rFonts w:ascii="Times New Roman" w:hAnsi="Times New Roman"/>
          <w:i/>
          <w:sz w:val="24"/>
          <w:szCs w:val="24"/>
          <w:lang w:val="en-GB"/>
        </w:rPr>
        <w:t>Journal of Economic Geography</w:t>
      </w:r>
      <w:r w:rsidR="00790751">
        <w:rPr>
          <w:lang w:val="en-GB"/>
        </w:rPr>
        <w:t>,</w:t>
      </w:r>
      <w:r w:rsidRPr="000050B8">
        <w:rPr>
          <w:rFonts w:ascii="Times New Roman" w:hAnsi="Times New Roman"/>
          <w:sz w:val="24"/>
          <w:szCs w:val="24"/>
          <w:lang w:val="en-GB"/>
        </w:rPr>
        <w:t xml:space="preserve"> </w:t>
      </w:r>
      <w:r w:rsidRPr="00EB63F1">
        <w:rPr>
          <w:rFonts w:ascii="Times New Roman" w:hAnsi="Times New Roman"/>
          <w:i/>
          <w:sz w:val="24"/>
          <w:szCs w:val="24"/>
          <w:lang w:val="en-GB"/>
        </w:rPr>
        <w:t>12</w:t>
      </w:r>
      <w:r w:rsidRPr="000050B8">
        <w:rPr>
          <w:rFonts w:ascii="Times New Roman" w:hAnsi="Times New Roman"/>
          <w:sz w:val="24"/>
          <w:szCs w:val="24"/>
          <w:lang w:val="en-GB"/>
        </w:rPr>
        <w:t>(1</w:t>
      </w:r>
      <w:r w:rsidR="00A33EEC" w:rsidRPr="000050B8">
        <w:rPr>
          <w:rFonts w:ascii="Times New Roman" w:hAnsi="Times New Roman"/>
          <w:sz w:val="24"/>
          <w:szCs w:val="24"/>
          <w:lang w:val="en-GB"/>
        </w:rPr>
        <w:t>)</w:t>
      </w:r>
      <w:r w:rsidR="00A33EEC">
        <w:rPr>
          <w:rFonts w:ascii="Times New Roman" w:hAnsi="Times New Roman"/>
          <w:sz w:val="24"/>
          <w:szCs w:val="24"/>
          <w:lang w:val="en-GB"/>
        </w:rPr>
        <w:t>,</w:t>
      </w:r>
      <w:r w:rsidR="00A33EEC" w:rsidRPr="00C437E1">
        <w:rPr>
          <w:rFonts w:ascii="Times New Roman" w:hAnsi="Times New Roman"/>
          <w:sz w:val="24"/>
          <w:szCs w:val="24"/>
          <w:lang w:val="en-GB"/>
        </w:rPr>
        <w:t xml:space="preserve"> </w:t>
      </w:r>
      <w:r w:rsidRPr="00C437E1">
        <w:rPr>
          <w:rFonts w:ascii="Times New Roman" w:hAnsi="Times New Roman"/>
          <w:sz w:val="24"/>
          <w:szCs w:val="24"/>
          <w:lang w:val="en-GB"/>
        </w:rPr>
        <w:t>79</w:t>
      </w:r>
      <w:r w:rsidR="00CA67D4" w:rsidRPr="000050B8">
        <w:rPr>
          <w:rFonts w:eastAsia="TimesTenLTStd-Roman"/>
          <w:szCs w:val="22"/>
          <w:lang w:val="en-GB"/>
        </w:rPr>
        <w:t>–</w:t>
      </w:r>
      <w:r w:rsidRPr="00C437E1">
        <w:rPr>
          <w:rFonts w:ascii="Times New Roman" w:hAnsi="Times New Roman"/>
          <w:sz w:val="24"/>
          <w:szCs w:val="24"/>
          <w:lang w:val="en-GB"/>
        </w:rPr>
        <w:t>105.</w:t>
      </w:r>
    </w:p>
    <w:p w14:paraId="372B0390" w14:textId="10C431CD" w:rsidR="00774EFC" w:rsidRPr="000050B8" w:rsidRDefault="00774EFC" w:rsidP="004555B0">
      <w:pPr>
        <w:spacing w:line="480" w:lineRule="auto"/>
        <w:rPr>
          <w:lang w:val="en-GB"/>
        </w:rPr>
      </w:pPr>
      <w:r w:rsidRPr="000050B8">
        <w:rPr>
          <w:lang w:val="en-GB"/>
        </w:rPr>
        <w:t>Duranton G.</w:t>
      </w:r>
      <w:r w:rsidR="00DE3725" w:rsidRPr="000050B8">
        <w:rPr>
          <w:lang w:val="en-GB"/>
        </w:rPr>
        <w:t>,</w:t>
      </w:r>
      <w:r w:rsidR="007D6D17">
        <w:rPr>
          <w:lang w:val="en-GB"/>
        </w:rPr>
        <w:t xml:space="preserve"> &amp;</w:t>
      </w:r>
      <w:r w:rsidRPr="000050B8">
        <w:rPr>
          <w:lang w:val="en-GB"/>
        </w:rPr>
        <w:t xml:space="preserve"> Puga, D. </w:t>
      </w:r>
      <w:r w:rsidR="00CC6A5F">
        <w:rPr>
          <w:lang w:val="en-GB"/>
        </w:rPr>
        <w:t>(</w:t>
      </w:r>
      <w:r w:rsidRPr="000050B8">
        <w:rPr>
          <w:lang w:val="en-GB"/>
        </w:rPr>
        <w:t>2001</w:t>
      </w:r>
      <w:r w:rsidR="00CC6A5F">
        <w:rPr>
          <w:lang w:val="en-GB"/>
        </w:rPr>
        <w:t>)</w:t>
      </w:r>
      <w:r w:rsidRPr="000050B8">
        <w:rPr>
          <w:lang w:val="en-GB"/>
        </w:rPr>
        <w:t xml:space="preserve">. Nursery cities: urban diversity, process innovation, and the life cycle of products. </w:t>
      </w:r>
      <w:r w:rsidRPr="000050B8">
        <w:rPr>
          <w:i/>
          <w:lang w:val="en-GB"/>
        </w:rPr>
        <w:t>American Economic Review</w:t>
      </w:r>
      <w:r w:rsidR="00A33EEC">
        <w:rPr>
          <w:lang w:val="en-GB"/>
        </w:rPr>
        <w:t>,</w:t>
      </w:r>
      <w:r w:rsidRPr="000050B8">
        <w:rPr>
          <w:lang w:val="en-GB"/>
        </w:rPr>
        <w:t xml:space="preserve"> </w:t>
      </w:r>
      <w:r w:rsidRPr="00EB63F1">
        <w:rPr>
          <w:i/>
          <w:lang w:val="en-GB"/>
        </w:rPr>
        <w:t>91</w:t>
      </w:r>
      <w:r w:rsidRPr="000050B8">
        <w:rPr>
          <w:lang w:val="en-GB"/>
        </w:rPr>
        <w:t>(5</w:t>
      </w:r>
      <w:r w:rsidR="00A33EEC" w:rsidRPr="000050B8">
        <w:rPr>
          <w:lang w:val="en-GB"/>
        </w:rPr>
        <w:t>)</w:t>
      </w:r>
      <w:r w:rsidR="00A33EEC">
        <w:rPr>
          <w:lang w:val="en-GB"/>
        </w:rPr>
        <w:t>,</w:t>
      </w:r>
      <w:r w:rsidR="00A33EEC" w:rsidRPr="000050B8">
        <w:rPr>
          <w:lang w:val="en-GB"/>
        </w:rPr>
        <w:t xml:space="preserve"> </w:t>
      </w:r>
      <w:r w:rsidRPr="000050B8">
        <w:rPr>
          <w:lang w:val="en-GB"/>
        </w:rPr>
        <w:t>1454‒1477.</w:t>
      </w:r>
    </w:p>
    <w:p w14:paraId="4DD3F0AA" w14:textId="272D5CE8" w:rsidR="00C27B2A" w:rsidRPr="000050B8" w:rsidRDefault="00C27B2A" w:rsidP="00C43B94">
      <w:pPr>
        <w:spacing w:line="480" w:lineRule="auto"/>
        <w:rPr>
          <w:lang w:val="en-GB"/>
        </w:rPr>
      </w:pPr>
      <w:r w:rsidRPr="000050B8">
        <w:rPr>
          <w:lang w:val="en-GB"/>
        </w:rPr>
        <w:t>Duranton, G.,</w:t>
      </w:r>
      <w:r w:rsidR="007D6D17">
        <w:rPr>
          <w:lang w:val="en-GB"/>
        </w:rPr>
        <w:t xml:space="preserve"> &amp;</w:t>
      </w:r>
      <w:r w:rsidRPr="000050B8">
        <w:rPr>
          <w:lang w:val="en-GB"/>
        </w:rPr>
        <w:t xml:space="preserve"> Puga, D. </w:t>
      </w:r>
      <w:r w:rsidR="00CC6A5F">
        <w:rPr>
          <w:lang w:val="en-GB"/>
        </w:rPr>
        <w:t>(</w:t>
      </w:r>
      <w:r w:rsidRPr="000050B8">
        <w:rPr>
          <w:lang w:val="en-GB"/>
        </w:rPr>
        <w:t>2004</w:t>
      </w:r>
      <w:r w:rsidR="00CC6A5F">
        <w:rPr>
          <w:lang w:val="en-GB"/>
        </w:rPr>
        <w:t>)</w:t>
      </w:r>
      <w:r w:rsidRPr="000050B8">
        <w:rPr>
          <w:lang w:val="en-GB"/>
        </w:rPr>
        <w:t>. Micro-foundations of urban agglomeration economies</w:t>
      </w:r>
      <w:r w:rsidR="00AC6BA5">
        <w:rPr>
          <w:lang w:val="en-GB"/>
        </w:rPr>
        <w:t>.</w:t>
      </w:r>
      <w:r w:rsidR="00AC6BA5" w:rsidRPr="000050B8">
        <w:rPr>
          <w:lang w:val="en-GB"/>
        </w:rPr>
        <w:t xml:space="preserve"> </w:t>
      </w:r>
      <w:r w:rsidR="00AC6BA5">
        <w:rPr>
          <w:lang w:val="en-GB"/>
        </w:rPr>
        <w:t>I</w:t>
      </w:r>
      <w:r w:rsidR="00AC6BA5" w:rsidRPr="000050B8">
        <w:rPr>
          <w:lang w:val="en-GB"/>
        </w:rPr>
        <w:t xml:space="preserve">n </w:t>
      </w:r>
      <w:r w:rsidRPr="000050B8">
        <w:rPr>
          <w:lang w:val="en-GB"/>
        </w:rPr>
        <w:t>G. Duranton, J.V. Henderson</w:t>
      </w:r>
      <w:r w:rsidR="00AC6BA5">
        <w:rPr>
          <w:lang w:val="en-GB"/>
        </w:rPr>
        <w:t>,</w:t>
      </w:r>
      <w:r w:rsidRPr="000050B8">
        <w:rPr>
          <w:lang w:val="en-GB"/>
        </w:rPr>
        <w:t xml:space="preserve"> </w:t>
      </w:r>
      <w:r w:rsidR="00AC6BA5">
        <w:rPr>
          <w:lang w:val="en-GB"/>
        </w:rPr>
        <w:t>&amp;</w:t>
      </w:r>
      <w:r w:rsidR="00AC6BA5" w:rsidRPr="000050B8">
        <w:rPr>
          <w:lang w:val="en-GB"/>
        </w:rPr>
        <w:t xml:space="preserve"> </w:t>
      </w:r>
      <w:r w:rsidRPr="000050B8">
        <w:rPr>
          <w:lang w:val="en-GB"/>
        </w:rPr>
        <w:t>W.C. Strange (</w:t>
      </w:r>
      <w:r w:rsidR="00AC6BA5">
        <w:rPr>
          <w:lang w:val="en-GB"/>
        </w:rPr>
        <w:t>E</w:t>
      </w:r>
      <w:r w:rsidR="00AC6BA5" w:rsidRPr="000050B8">
        <w:rPr>
          <w:lang w:val="en-GB"/>
        </w:rPr>
        <w:t>ds</w:t>
      </w:r>
      <w:r w:rsidR="00AC6BA5">
        <w:rPr>
          <w:lang w:val="en-GB"/>
        </w:rPr>
        <w:t>.</w:t>
      </w:r>
      <w:r w:rsidRPr="000050B8">
        <w:rPr>
          <w:lang w:val="en-GB"/>
        </w:rPr>
        <w:t xml:space="preserve">) </w:t>
      </w:r>
      <w:r w:rsidRPr="000050B8">
        <w:rPr>
          <w:i/>
          <w:lang w:val="en-GB"/>
        </w:rPr>
        <w:t>Handbook of Regional and Urban Economics</w:t>
      </w:r>
      <w:r w:rsidRPr="000050B8">
        <w:rPr>
          <w:lang w:val="en-GB"/>
        </w:rPr>
        <w:t>, vol. 4</w:t>
      </w:r>
      <w:r w:rsidR="00AC6BA5">
        <w:rPr>
          <w:lang w:val="en-GB"/>
        </w:rPr>
        <w:t>, (</w:t>
      </w:r>
      <w:r w:rsidR="00AC6BA5" w:rsidRPr="000050B8">
        <w:rPr>
          <w:lang w:val="en-GB"/>
        </w:rPr>
        <w:t>pp. 2063</w:t>
      </w:r>
      <w:r w:rsidR="00AC6BA5" w:rsidRPr="000050B8">
        <w:rPr>
          <w:rFonts w:eastAsia="TimesTenLTStd-Roman"/>
          <w:szCs w:val="22"/>
          <w:lang w:val="en-GB"/>
        </w:rPr>
        <w:t>–</w:t>
      </w:r>
      <w:r w:rsidR="00AC6BA5" w:rsidRPr="000050B8">
        <w:rPr>
          <w:lang w:val="en-GB"/>
        </w:rPr>
        <w:t>2117</w:t>
      </w:r>
      <w:r w:rsidR="00AC6BA5">
        <w:rPr>
          <w:lang w:val="en-GB"/>
        </w:rPr>
        <w:t>)</w:t>
      </w:r>
      <w:r w:rsidRPr="000050B8">
        <w:rPr>
          <w:lang w:val="en-GB"/>
        </w:rPr>
        <w:t>. Amsterdam: North Holland.</w:t>
      </w:r>
    </w:p>
    <w:p w14:paraId="14685433" w14:textId="6B1135D8" w:rsidR="00774EFC" w:rsidRPr="000050B8" w:rsidRDefault="005D42C2" w:rsidP="004555B0">
      <w:pPr>
        <w:spacing w:line="480" w:lineRule="auto"/>
        <w:rPr>
          <w:lang w:val="en-GB"/>
        </w:rPr>
      </w:pPr>
      <w:r w:rsidRPr="000050B8">
        <w:rPr>
          <w:lang w:val="en-GB"/>
        </w:rPr>
        <w:t>Ebersberger, B.,</w:t>
      </w:r>
      <w:r w:rsidR="007D6D17">
        <w:rPr>
          <w:lang w:val="en-GB"/>
        </w:rPr>
        <w:t xml:space="preserve"> &amp;</w:t>
      </w:r>
      <w:r w:rsidRPr="000050B8">
        <w:rPr>
          <w:lang w:val="en-GB"/>
        </w:rPr>
        <w:t xml:space="preserve"> Herstad, S.J. </w:t>
      </w:r>
      <w:r w:rsidR="00CC6A5F">
        <w:rPr>
          <w:lang w:val="en-GB"/>
        </w:rPr>
        <w:t>(</w:t>
      </w:r>
      <w:r w:rsidRPr="000050B8">
        <w:rPr>
          <w:lang w:val="en-GB"/>
        </w:rPr>
        <w:t>2013</w:t>
      </w:r>
      <w:r w:rsidR="00CC6A5F">
        <w:rPr>
          <w:lang w:val="en-GB"/>
        </w:rPr>
        <w:t>)</w:t>
      </w:r>
      <w:r w:rsidRPr="000050B8">
        <w:rPr>
          <w:lang w:val="en-GB"/>
        </w:rPr>
        <w:t xml:space="preserve">. The relationship between international innovation collaboration, intramural R&amp;D and SMEs’ innovation performance: A quantile regression approach. </w:t>
      </w:r>
      <w:r w:rsidRPr="000050B8">
        <w:rPr>
          <w:i/>
          <w:lang w:val="en-GB"/>
        </w:rPr>
        <w:t>Applied Economics Letters</w:t>
      </w:r>
      <w:r w:rsidR="00790751">
        <w:rPr>
          <w:lang w:val="en-GB"/>
        </w:rPr>
        <w:t>,</w:t>
      </w:r>
      <w:r w:rsidRPr="000050B8">
        <w:rPr>
          <w:lang w:val="en-GB"/>
        </w:rPr>
        <w:t xml:space="preserve"> </w:t>
      </w:r>
      <w:r w:rsidRPr="00EB63F1">
        <w:rPr>
          <w:i/>
          <w:lang w:val="en-GB"/>
        </w:rPr>
        <w:t>20</w:t>
      </w:r>
      <w:r w:rsidRPr="000050B8">
        <w:rPr>
          <w:lang w:val="en-GB"/>
        </w:rPr>
        <w:t>(7</w:t>
      </w:r>
      <w:r w:rsidR="00A33EEC" w:rsidRPr="000050B8">
        <w:rPr>
          <w:lang w:val="en-GB"/>
        </w:rPr>
        <w:t>)</w:t>
      </w:r>
      <w:r w:rsidR="00A33EEC">
        <w:rPr>
          <w:lang w:val="en-GB"/>
        </w:rPr>
        <w:t>,</w:t>
      </w:r>
      <w:r w:rsidR="00A33EEC" w:rsidRPr="000050B8">
        <w:rPr>
          <w:lang w:val="en-GB"/>
        </w:rPr>
        <w:t xml:space="preserve"> </w:t>
      </w:r>
      <w:r w:rsidRPr="000050B8">
        <w:rPr>
          <w:lang w:val="en-GB"/>
        </w:rPr>
        <w:t>626</w:t>
      </w:r>
      <w:r w:rsidR="00CA67D4" w:rsidRPr="000050B8">
        <w:rPr>
          <w:rFonts w:eastAsia="TimesTenLTStd-Roman"/>
          <w:szCs w:val="22"/>
          <w:lang w:val="en-GB"/>
        </w:rPr>
        <w:t>–</w:t>
      </w:r>
      <w:r w:rsidRPr="000050B8">
        <w:rPr>
          <w:lang w:val="en-GB"/>
        </w:rPr>
        <w:t>630.</w:t>
      </w:r>
    </w:p>
    <w:p w14:paraId="62D0BF24" w14:textId="03D516DB" w:rsidR="00557574" w:rsidRPr="00557574" w:rsidRDefault="00557574" w:rsidP="004555B0">
      <w:pPr>
        <w:spacing w:line="480" w:lineRule="auto"/>
        <w:rPr>
          <w:lang w:val="en-GB"/>
        </w:rPr>
      </w:pPr>
      <w:r>
        <w:rPr>
          <w:lang w:val="en-GB"/>
        </w:rPr>
        <w:t xml:space="preserve">Eder, J. </w:t>
      </w:r>
      <w:r w:rsidR="00CC6A5F">
        <w:rPr>
          <w:lang w:val="en-GB"/>
        </w:rPr>
        <w:t>(</w:t>
      </w:r>
      <w:r w:rsidR="00E34566">
        <w:rPr>
          <w:lang w:val="en-GB"/>
        </w:rPr>
        <w:t>2019</w:t>
      </w:r>
      <w:r w:rsidR="00CC6A5F">
        <w:rPr>
          <w:lang w:val="en-GB"/>
        </w:rPr>
        <w:t>)</w:t>
      </w:r>
      <w:r>
        <w:rPr>
          <w:lang w:val="en-GB"/>
        </w:rPr>
        <w:t xml:space="preserve">. Innovation in the periphery: A critical survey and research agenda. </w:t>
      </w:r>
      <w:r>
        <w:rPr>
          <w:i/>
          <w:lang w:val="en-GB"/>
        </w:rPr>
        <w:t>International Regional Science Review</w:t>
      </w:r>
      <w:r w:rsidR="00E34566">
        <w:rPr>
          <w:lang w:val="en-GB"/>
        </w:rPr>
        <w:t xml:space="preserve">, </w:t>
      </w:r>
      <w:r w:rsidR="00E34566">
        <w:rPr>
          <w:i/>
          <w:lang w:val="en-GB"/>
        </w:rPr>
        <w:t>42</w:t>
      </w:r>
      <w:r w:rsidR="00E34566">
        <w:rPr>
          <w:lang w:val="en-GB"/>
        </w:rPr>
        <w:t>(2), 119-146</w:t>
      </w:r>
      <w:r>
        <w:rPr>
          <w:lang w:val="en-GB"/>
        </w:rPr>
        <w:t xml:space="preserve">. </w:t>
      </w:r>
    </w:p>
    <w:p w14:paraId="67522BC3" w14:textId="25B51AE8" w:rsidR="00F83199" w:rsidRPr="00C437E1" w:rsidRDefault="00F83199" w:rsidP="004555B0">
      <w:pPr>
        <w:spacing w:line="480" w:lineRule="auto"/>
        <w:rPr>
          <w:lang w:val="en-GB"/>
        </w:rPr>
      </w:pPr>
      <w:r w:rsidRPr="000050B8">
        <w:rPr>
          <w:lang w:val="en-GB"/>
        </w:rPr>
        <w:t>Eriksson, R.</w:t>
      </w:r>
      <w:r w:rsidR="00E83CE0">
        <w:rPr>
          <w:lang w:val="en-GB"/>
        </w:rPr>
        <w:t>,</w:t>
      </w:r>
      <w:r w:rsidRPr="000050B8">
        <w:rPr>
          <w:lang w:val="en-GB"/>
        </w:rPr>
        <w:t xml:space="preserve"> </w:t>
      </w:r>
      <w:r w:rsidR="007D6D17">
        <w:rPr>
          <w:lang w:val="en-GB"/>
        </w:rPr>
        <w:t>&amp;</w:t>
      </w:r>
      <w:r w:rsidR="007D6D17" w:rsidRPr="000050B8">
        <w:rPr>
          <w:lang w:val="en-GB"/>
        </w:rPr>
        <w:t xml:space="preserve"> </w:t>
      </w:r>
      <w:r w:rsidRPr="000050B8">
        <w:rPr>
          <w:lang w:val="en-GB"/>
        </w:rPr>
        <w:t xml:space="preserve">Rodríguez-Pose, A. </w:t>
      </w:r>
      <w:r w:rsidR="00CC6A5F">
        <w:rPr>
          <w:lang w:val="en-GB"/>
        </w:rPr>
        <w:t>(</w:t>
      </w:r>
      <w:r w:rsidRPr="000050B8">
        <w:rPr>
          <w:lang w:val="en-GB"/>
        </w:rPr>
        <w:t>2017</w:t>
      </w:r>
      <w:r w:rsidR="00CC6A5F">
        <w:rPr>
          <w:lang w:val="en-GB"/>
        </w:rPr>
        <w:t>)</w:t>
      </w:r>
      <w:r w:rsidRPr="000050B8">
        <w:rPr>
          <w:lang w:val="en-GB"/>
        </w:rPr>
        <w:t xml:space="preserve">. Job-related mobility and plant performance in Sweden, </w:t>
      </w:r>
      <w:r w:rsidRPr="00E63EA5">
        <w:rPr>
          <w:i/>
          <w:lang w:val="en-GB"/>
        </w:rPr>
        <w:t>Geoforum</w:t>
      </w:r>
      <w:r w:rsidR="00790751">
        <w:rPr>
          <w:lang w:val="en-GB"/>
        </w:rPr>
        <w:t>,</w:t>
      </w:r>
      <w:r w:rsidRPr="000050B8">
        <w:rPr>
          <w:lang w:val="en-GB"/>
        </w:rPr>
        <w:t xml:space="preserve"> </w:t>
      </w:r>
      <w:r w:rsidRPr="00EB63F1">
        <w:rPr>
          <w:i/>
          <w:lang w:val="en-GB"/>
        </w:rPr>
        <w:t>83</w:t>
      </w:r>
      <w:r w:rsidR="00A33EEC">
        <w:rPr>
          <w:lang w:val="en-GB"/>
        </w:rPr>
        <w:t>(1),</w:t>
      </w:r>
      <w:r w:rsidR="00A33EEC" w:rsidRPr="00C437E1">
        <w:rPr>
          <w:lang w:val="en-GB"/>
        </w:rPr>
        <w:t xml:space="preserve"> </w:t>
      </w:r>
      <w:r w:rsidRPr="00C437E1">
        <w:rPr>
          <w:lang w:val="en-GB"/>
        </w:rPr>
        <w:t>39</w:t>
      </w:r>
      <w:r w:rsidR="00CA67D4" w:rsidRPr="000050B8">
        <w:rPr>
          <w:rFonts w:eastAsia="TimesTenLTStd-Roman"/>
          <w:szCs w:val="22"/>
          <w:lang w:val="en-GB"/>
        </w:rPr>
        <w:t>–</w:t>
      </w:r>
      <w:r w:rsidRPr="00C437E1">
        <w:rPr>
          <w:lang w:val="en-GB"/>
        </w:rPr>
        <w:t>49.</w:t>
      </w:r>
    </w:p>
    <w:p w14:paraId="3B4187FA" w14:textId="4088FA34" w:rsidR="00774EFC" w:rsidRPr="000050B8" w:rsidRDefault="00774EFC" w:rsidP="004555B0">
      <w:pPr>
        <w:spacing w:line="480" w:lineRule="auto"/>
        <w:rPr>
          <w:sz w:val="28"/>
          <w:lang w:val="en-GB"/>
        </w:rPr>
      </w:pPr>
      <w:r w:rsidRPr="003D5FBD">
        <w:t>Ellison, G., Glaeser, E.L.</w:t>
      </w:r>
      <w:r w:rsidR="00DE3725" w:rsidRPr="003D5FBD">
        <w:t>,</w:t>
      </w:r>
      <w:r w:rsidRPr="003D5FBD">
        <w:t xml:space="preserve"> </w:t>
      </w:r>
      <w:r w:rsidR="007D6D17">
        <w:t xml:space="preserve">&amp; </w:t>
      </w:r>
      <w:r w:rsidRPr="003D5FBD">
        <w:t>Kerr, W.R.</w:t>
      </w:r>
      <w:r w:rsidRPr="003D5FBD" w:rsidDel="007F745E">
        <w:t xml:space="preserve">  </w:t>
      </w:r>
      <w:r w:rsidR="00CC6A5F">
        <w:t>(</w:t>
      </w:r>
      <w:r w:rsidRPr="000050B8">
        <w:rPr>
          <w:szCs w:val="22"/>
          <w:lang w:val="en-GB"/>
        </w:rPr>
        <w:t>2010</w:t>
      </w:r>
      <w:r w:rsidR="00CC6A5F">
        <w:rPr>
          <w:szCs w:val="22"/>
          <w:lang w:val="en-GB"/>
        </w:rPr>
        <w:t>)</w:t>
      </w:r>
      <w:r w:rsidRPr="000050B8">
        <w:rPr>
          <w:szCs w:val="22"/>
          <w:lang w:val="en-GB"/>
        </w:rPr>
        <w:t xml:space="preserve">. What causes industry agglomeration? Evidence from </w:t>
      </w:r>
      <w:proofErr w:type="spellStart"/>
      <w:r w:rsidRPr="000050B8">
        <w:rPr>
          <w:szCs w:val="22"/>
          <w:lang w:val="en-GB"/>
        </w:rPr>
        <w:t>coagglomeration</w:t>
      </w:r>
      <w:proofErr w:type="spellEnd"/>
      <w:r w:rsidRPr="000050B8">
        <w:rPr>
          <w:szCs w:val="22"/>
          <w:lang w:val="en-GB"/>
        </w:rPr>
        <w:t xml:space="preserve"> patterns. </w:t>
      </w:r>
      <w:r w:rsidRPr="000050B8">
        <w:rPr>
          <w:i/>
          <w:szCs w:val="22"/>
          <w:lang w:val="en-GB"/>
        </w:rPr>
        <w:t>American Economic Review</w:t>
      </w:r>
      <w:r w:rsidR="00790751">
        <w:rPr>
          <w:lang w:val="en-GB"/>
        </w:rPr>
        <w:t>,</w:t>
      </w:r>
      <w:r w:rsidRPr="000050B8">
        <w:rPr>
          <w:szCs w:val="22"/>
          <w:lang w:val="en-GB"/>
        </w:rPr>
        <w:t xml:space="preserve"> </w:t>
      </w:r>
      <w:r w:rsidRPr="00EB63F1">
        <w:rPr>
          <w:i/>
          <w:szCs w:val="22"/>
          <w:lang w:val="en-GB"/>
        </w:rPr>
        <w:t>100</w:t>
      </w:r>
      <w:r w:rsidRPr="000050B8">
        <w:rPr>
          <w:szCs w:val="22"/>
          <w:lang w:val="en-GB"/>
        </w:rPr>
        <w:t>(3</w:t>
      </w:r>
      <w:r w:rsidR="00A33EEC" w:rsidRPr="000050B8">
        <w:rPr>
          <w:szCs w:val="22"/>
          <w:lang w:val="en-GB"/>
        </w:rPr>
        <w:t>)</w:t>
      </w:r>
      <w:r w:rsidR="00A33EEC">
        <w:rPr>
          <w:szCs w:val="22"/>
          <w:lang w:val="en-GB"/>
        </w:rPr>
        <w:t>,</w:t>
      </w:r>
      <w:r w:rsidR="00A33EEC" w:rsidRPr="000050B8">
        <w:rPr>
          <w:szCs w:val="22"/>
          <w:lang w:val="en-GB"/>
        </w:rPr>
        <w:t xml:space="preserve"> </w:t>
      </w:r>
      <w:r w:rsidRPr="000050B8">
        <w:rPr>
          <w:szCs w:val="22"/>
          <w:lang w:val="en-GB"/>
        </w:rPr>
        <w:t>1195</w:t>
      </w:r>
      <w:r w:rsidR="00CA67D4" w:rsidRPr="000050B8">
        <w:rPr>
          <w:rFonts w:eastAsia="TimesTenLTStd-Roman"/>
          <w:szCs w:val="22"/>
          <w:lang w:val="en-GB"/>
        </w:rPr>
        <w:t>–</w:t>
      </w:r>
      <w:r w:rsidRPr="000050B8">
        <w:rPr>
          <w:szCs w:val="22"/>
          <w:lang w:val="en-GB"/>
        </w:rPr>
        <w:t>1213.</w:t>
      </w:r>
    </w:p>
    <w:p w14:paraId="5E8F3845" w14:textId="541615FE" w:rsidR="00EF4864" w:rsidRPr="00EF4864" w:rsidRDefault="00EF4864" w:rsidP="00C43B94">
      <w:pPr>
        <w:spacing w:line="480" w:lineRule="auto"/>
        <w:rPr>
          <w:lang w:val="en-GB"/>
        </w:rPr>
      </w:pPr>
      <w:r w:rsidRPr="003D5FBD">
        <w:rPr>
          <w:lang w:val="en-GB"/>
        </w:rPr>
        <w:t>Fitjar, R.D.,</w:t>
      </w:r>
      <w:r w:rsidR="007D6D17">
        <w:rPr>
          <w:lang w:val="en-GB"/>
        </w:rPr>
        <w:t xml:space="preserve"> &amp;</w:t>
      </w:r>
      <w:r w:rsidRPr="003D5FBD">
        <w:rPr>
          <w:lang w:val="en-GB"/>
        </w:rPr>
        <w:t xml:space="preserve"> </w:t>
      </w:r>
      <w:r>
        <w:rPr>
          <w:lang w:val="en-GB"/>
        </w:rPr>
        <w:t xml:space="preserve">Huber, F. </w:t>
      </w:r>
      <w:r w:rsidR="00CC6A5F">
        <w:rPr>
          <w:lang w:val="en-GB"/>
        </w:rPr>
        <w:t>(</w:t>
      </w:r>
      <w:r>
        <w:rPr>
          <w:lang w:val="en-GB"/>
        </w:rPr>
        <w:t>2015</w:t>
      </w:r>
      <w:r w:rsidR="00CC6A5F">
        <w:rPr>
          <w:lang w:val="en-GB"/>
        </w:rPr>
        <w:t>)</w:t>
      </w:r>
      <w:r>
        <w:rPr>
          <w:lang w:val="en-GB"/>
        </w:rPr>
        <w:t xml:space="preserve">. Global pipelines for innovation: Insights from the case of Norway. </w:t>
      </w:r>
      <w:r>
        <w:rPr>
          <w:i/>
          <w:lang w:val="en-GB"/>
        </w:rPr>
        <w:t>Journal of Economic Geography</w:t>
      </w:r>
      <w:r w:rsidR="00790751">
        <w:rPr>
          <w:lang w:val="en-GB"/>
        </w:rPr>
        <w:t>,</w:t>
      </w:r>
      <w:r>
        <w:rPr>
          <w:lang w:val="en-GB"/>
        </w:rPr>
        <w:t xml:space="preserve"> </w:t>
      </w:r>
      <w:r w:rsidRPr="00EB63F1">
        <w:rPr>
          <w:i/>
          <w:lang w:val="en-GB"/>
        </w:rPr>
        <w:t>15</w:t>
      </w:r>
      <w:r>
        <w:rPr>
          <w:lang w:val="en-GB"/>
        </w:rPr>
        <w:t>(3</w:t>
      </w:r>
      <w:r w:rsidR="00A33EEC">
        <w:rPr>
          <w:lang w:val="en-GB"/>
        </w:rPr>
        <w:t xml:space="preserve">), </w:t>
      </w:r>
      <w:r>
        <w:rPr>
          <w:lang w:val="en-GB"/>
        </w:rPr>
        <w:t>561</w:t>
      </w:r>
      <w:r w:rsidR="00CA67D4" w:rsidRPr="000050B8">
        <w:rPr>
          <w:rFonts w:eastAsia="TimesTenLTStd-Roman"/>
          <w:szCs w:val="22"/>
          <w:lang w:val="en-GB"/>
        </w:rPr>
        <w:t>–</w:t>
      </w:r>
      <w:r>
        <w:rPr>
          <w:lang w:val="en-GB"/>
        </w:rPr>
        <w:t>583.</w:t>
      </w:r>
    </w:p>
    <w:p w14:paraId="19449162" w14:textId="0AECB4A6" w:rsidR="0030698C" w:rsidRPr="000050B8" w:rsidRDefault="0030698C" w:rsidP="0030698C">
      <w:pPr>
        <w:spacing w:line="480" w:lineRule="auto"/>
        <w:rPr>
          <w:lang w:val="en-GB"/>
        </w:rPr>
      </w:pPr>
      <w:r w:rsidRPr="005E6822">
        <w:rPr>
          <w:lang w:val="en-GB"/>
        </w:rPr>
        <w:lastRenderedPageBreak/>
        <w:t xml:space="preserve">Fitjar, R.D., Huber, F., </w:t>
      </w:r>
      <w:r w:rsidR="007D6D17" w:rsidRPr="005E6822">
        <w:rPr>
          <w:lang w:val="en-GB"/>
        </w:rPr>
        <w:t xml:space="preserve">&amp; </w:t>
      </w:r>
      <w:r w:rsidRPr="005E6822">
        <w:rPr>
          <w:lang w:val="en-GB"/>
        </w:rPr>
        <w:t xml:space="preserve">Rodríguez-Pose, A. </w:t>
      </w:r>
      <w:r w:rsidR="00CC6A5F" w:rsidRPr="005E6822">
        <w:rPr>
          <w:lang w:val="en-GB"/>
        </w:rPr>
        <w:t>(</w:t>
      </w:r>
      <w:r w:rsidRPr="005E6822">
        <w:rPr>
          <w:lang w:val="en-GB"/>
        </w:rPr>
        <w:t>2016</w:t>
      </w:r>
      <w:r w:rsidR="00CC6A5F" w:rsidRPr="005E6822">
        <w:rPr>
          <w:lang w:val="en-GB"/>
        </w:rPr>
        <w:t>)</w:t>
      </w:r>
      <w:r w:rsidRPr="005E6822">
        <w:rPr>
          <w:lang w:val="en-GB"/>
        </w:rPr>
        <w:t xml:space="preserve">. </w:t>
      </w:r>
      <w:r w:rsidRPr="000050B8">
        <w:rPr>
          <w:lang w:val="en-GB"/>
        </w:rPr>
        <w:t xml:space="preserve">Not too close, not too far: Testing the Goldilocks principle of ‘optimal’ distance in innovation networks. </w:t>
      </w:r>
      <w:r w:rsidRPr="000050B8">
        <w:rPr>
          <w:i/>
          <w:lang w:val="en-GB"/>
        </w:rPr>
        <w:t>Industry and Innovation</w:t>
      </w:r>
      <w:r w:rsidR="00790751">
        <w:rPr>
          <w:lang w:val="en-GB"/>
        </w:rPr>
        <w:t>,</w:t>
      </w:r>
      <w:r w:rsidRPr="000050B8">
        <w:rPr>
          <w:lang w:val="en-GB"/>
        </w:rPr>
        <w:t xml:space="preserve"> </w:t>
      </w:r>
      <w:r w:rsidRPr="00EB63F1">
        <w:rPr>
          <w:i/>
          <w:lang w:val="en-GB"/>
        </w:rPr>
        <w:t>23</w:t>
      </w:r>
      <w:r w:rsidRPr="000050B8">
        <w:rPr>
          <w:lang w:val="en-GB"/>
        </w:rPr>
        <w:t>(6)</w:t>
      </w:r>
      <w:r w:rsidR="00A33EEC">
        <w:rPr>
          <w:lang w:val="en-GB"/>
        </w:rPr>
        <w:t>,</w:t>
      </w:r>
      <w:r w:rsidRPr="000050B8">
        <w:rPr>
          <w:lang w:val="en-GB"/>
        </w:rPr>
        <w:t xml:space="preserve"> 465</w:t>
      </w:r>
      <w:r w:rsidR="00CA67D4" w:rsidRPr="000050B8">
        <w:rPr>
          <w:rFonts w:eastAsia="TimesTenLTStd-Roman"/>
          <w:szCs w:val="22"/>
          <w:lang w:val="en-GB"/>
        </w:rPr>
        <w:t>–</w:t>
      </w:r>
      <w:r w:rsidRPr="000050B8">
        <w:rPr>
          <w:lang w:val="en-GB"/>
        </w:rPr>
        <w:t>487.</w:t>
      </w:r>
    </w:p>
    <w:p w14:paraId="626E5637" w14:textId="2BDC4B47" w:rsidR="00D00D2B" w:rsidRPr="000050B8" w:rsidRDefault="00D00D2B" w:rsidP="00C43B94">
      <w:pPr>
        <w:spacing w:line="480" w:lineRule="auto"/>
        <w:rPr>
          <w:lang w:val="en-GB"/>
        </w:rPr>
      </w:pPr>
      <w:r w:rsidRPr="005E6822">
        <w:rPr>
          <w:lang w:val="en-GB"/>
        </w:rPr>
        <w:t>Fitjar, R.D.,</w:t>
      </w:r>
      <w:r w:rsidR="007D6D17" w:rsidRPr="005E6822">
        <w:rPr>
          <w:lang w:val="en-GB"/>
        </w:rPr>
        <w:t xml:space="preserve"> &amp;</w:t>
      </w:r>
      <w:r w:rsidRPr="005E6822">
        <w:rPr>
          <w:lang w:val="en-GB"/>
        </w:rPr>
        <w:t xml:space="preserve"> Rodríguez-Pose, A. </w:t>
      </w:r>
      <w:r w:rsidR="00CC6A5F" w:rsidRPr="005E6822">
        <w:rPr>
          <w:lang w:val="en-GB"/>
        </w:rPr>
        <w:t>(</w:t>
      </w:r>
      <w:r w:rsidRPr="005E6822">
        <w:rPr>
          <w:lang w:val="en-GB"/>
        </w:rPr>
        <w:t>2011</w:t>
      </w:r>
      <w:r w:rsidR="00CC6A5F" w:rsidRPr="005E6822">
        <w:rPr>
          <w:lang w:val="en-GB"/>
        </w:rPr>
        <w:t>)</w:t>
      </w:r>
      <w:r w:rsidRPr="005E6822">
        <w:rPr>
          <w:lang w:val="en-GB"/>
        </w:rPr>
        <w:t xml:space="preserve">. </w:t>
      </w:r>
      <w:r w:rsidRPr="000050B8">
        <w:rPr>
          <w:lang w:val="en-GB"/>
        </w:rPr>
        <w:t xml:space="preserve">When local interaction does not suffice: Sources of firm innovation in urban Norway. </w:t>
      </w:r>
      <w:r w:rsidRPr="000050B8">
        <w:rPr>
          <w:i/>
          <w:lang w:val="en-GB"/>
        </w:rPr>
        <w:t>Environment &amp; Planning A</w:t>
      </w:r>
      <w:r w:rsidR="00790751">
        <w:rPr>
          <w:lang w:val="en-GB"/>
        </w:rPr>
        <w:t>,</w:t>
      </w:r>
      <w:r w:rsidRPr="000050B8">
        <w:rPr>
          <w:lang w:val="en-GB"/>
        </w:rPr>
        <w:t xml:space="preserve"> </w:t>
      </w:r>
      <w:r w:rsidRPr="00EB63F1">
        <w:rPr>
          <w:i/>
          <w:lang w:val="en-GB"/>
        </w:rPr>
        <w:t>43</w:t>
      </w:r>
      <w:r w:rsidRPr="000050B8">
        <w:rPr>
          <w:lang w:val="en-GB"/>
        </w:rPr>
        <w:t>(6</w:t>
      </w:r>
      <w:r w:rsidR="00A33EEC" w:rsidRPr="000050B8">
        <w:rPr>
          <w:lang w:val="en-GB"/>
        </w:rPr>
        <w:t>)</w:t>
      </w:r>
      <w:r w:rsidR="00A33EEC">
        <w:rPr>
          <w:lang w:val="en-GB"/>
        </w:rPr>
        <w:t>,</w:t>
      </w:r>
      <w:r w:rsidR="00A33EEC" w:rsidRPr="000050B8">
        <w:rPr>
          <w:lang w:val="en-GB"/>
        </w:rPr>
        <w:t xml:space="preserve"> </w:t>
      </w:r>
      <w:r w:rsidRPr="000050B8">
        <w:rPr>
          <w:lang w:val="en-GB"/>
        </w:rPr>
        <w:t>1248</w:t>
      </w:r>
      <w:r w:rsidR="00CA67D4" w:rsidRPr="000050B8">
        <w:rPr>
          <w:rFonts w:eastAsia="TimesTenLTStd-Roman"/>
          <w:szCs w:val="22"/>
          <w:lang w:val="en-GB"/>
        </w:rPr>
        <w:t>–</w:t>
      </w:r>
      <w:r w:rsidRPr="000050B8">
        <w:rPr>
          <w:lang w:val="en-GB"/>
        </w:rPr>
        <w:t>1267.</w:t>
      </w:r>
    </w:p>
    <w:p w14:paraId="3CD52FEB" w14:textId="7729E92D" w:rsidR="00EF4864" w:rsidRPr="00EF4864" w:rsidRDefault="00EF4864" w:rsidP="00C43B94">
      <w:pPr>
        <w:spacing w:line="480" w:lineRule="auto"/>
        <w:rPr>
          <w:lang w:val="en-GB"/>
        </w:rPr>
      </w:pPr>
      <w:r>
        <w:rPr>
          <w:lang w:val="en-GB"/>
        </w:rPr>
        <w:t>Fitjar, R.D.,</w:t>
      </w:r>
      <w:r w:rsidR="007D6D17">
        <w:rPr>
          <w:lang w:val="en-GB"/>
        </w:rPr>
        <w:t xml:space="preserve"> &amp;</w:t>
      </w:r>
      <w:r>
        <w:rPr>
          <w:lang w:val="en-GB"/>
        </w:rPr>
        <w:t xml:space="preserve"> Rodríguez-Pose, A. </w:t>
      </w:r>
      <w:r w:rsidR="00CC6A5F">
        <w:rPr>
          <w:lang w:val="en-GB"/>
        </w:rPr>
        <w:t>(</w:t>
      </w:r>
      <w:r>
        <w:rPr>
          <w:lang w:val="en-GB"/>
        </w:rPr>
        <w:t>2014</w:t>
      </w:r>
      <w:r w:rsidR="00CC6A5F">
        <w:rPr>
          <w:lang w:val="en-GB"/>
        </w:rPr>
        <w:t>)</w:t>
      </w:r>
      <w:r>
        <w:rPr>
          <w:lang w:val="en-GB"/>
        </w:rPr>
        <w:t xml:space="preserve">. The geographical dimension of innovation collaboration: Networking and innovation in Norway. </w:t>
      </w:r>
      <w:r>
        <w:rPr>
          <w:i/>
          <w:lang w:val="en-GB"/>
        </w:rPr>
        <w:t>Urban Studies</w:t>
      </w:r>
      <w:r w:rsidR="00790751">
        <w:rPr>
          <w:lang w:val="en-GB"/>
        </w:rPr>
        <w:t>,</w:t>
      </w:r>
      <w:r>
        <w:rPr>
          <w:lang w:val="en-GB"/>
        </w:rPr>
        <w:t xml:space="preserve"> </w:t>
      </w:r>
      <w:r w:rsidRPr="00EB63F1">
        <w:rPr>
          <w:i/>
          <w:lang w:val="en-GB"/>
        </w:rPr>
        <w:t>51</w:t>
      </w:r>
      <w:r>
        <w:rPr>
          <w:lang w:val="en-GB"/>
        </w:rPr>
        <w:t>(12</w:t>
      </w:r>
      <w:r w:rsidR="00A33EEC">
        <w:rPr>
          <w:lang w:val="en-GB"/>
        </w:rPr>
        <w:t xml:space="preserve">), </w:t>
      </w:r>
      <w:r>
        <w:rPr>
          <w:lang w:val="en-GB"/>
        </w:rPr>
        <w:t>2572</w:t>
      </w:r>
      <w:r w:rsidR="00CA67D4" w:rsidRPr="000050B8">
        <w:rPr>
          <w:rFonts w:eastAsia="TimesTenLTStd-Roman"/>
          <w:szCs w:val="22"/>
          <w:lang w:val="en-GB"/>
        </w:rPr>
        <w:t>–</w:t>
      </w:r>
      <w:r>
        <w:rPr>
          <w:lang w:val="en-GB"/>
        </w:rPr>
        <w:t>2595.</w:t>
      </w:r>
    </w:p>
    <w:p w14:paraId="02AC0D66" w14:textId="369A338A" w:rsidR="00EF4864" w:rsidRPr="00EF4864" w:rsidRDefault="00EF4864" w:rsidP="00C43B94">
      <w:pPr>
        <w:spacing w:line="480" w:lineRule="auto"/>
        <w:rPr>
          <w:lang w:val="en-GB"/>
        </w:rPr>
      </w:pPr>
      <w:r>
        <w:rPr>
          <w:lang w:val="en-GB"/>
        </w:rPr>
        <w:t>Fitjar, R.D.,</w:t>
      </w:r>
      <w:r w:rsidR="007D6D17">
        <w:rPr>
          <w:lang w:val="en-GB"/>
        </w:rPr>
        <w:t xml:space="preserve"> &amp;</w:t>
      </w:r>
      <w:r>
        <w:rPr>
          <w:lang w:val="en-GB"/>
        </w:rPr>
        <w:t xml:space="preserve"> Rodríguez-Pose, A. </w:t>
      </w:r>
      <w:r w:rsidR="00CC6A5F">
        <w:rPr>
          <w:lang w:val="en-GB"/>
        </w:rPr>
        <w:t>(</w:t>
      </w:r>
      <w:r>
        <w:rPr>
          <w:lang w:val="en-GB"/>
        </w:rPr>
        <w:t>2015</w:t>
      </w:r>
      <w:r w:rsidR="00CC6A5F">
        <w:rPr>
          <w:lang w:val="en-GB"/>
        </w:rPr>
        <w:t>)</w:t>
      </w:r>
      <w:r>
        <w:rPr>
          <w:lang w:val="en-GB"/>
        </w:rPr>
        <w:t xml:space="preserve">. Networking, context and firm-level innovation: Cooperation through the regional filter in Norway. </w:t>
      </w:r>
      <w:r>
        <w:rPr>
          <w:i/>
          <w:lang w:val="en-GB"/>
        </w:rPr>
        <w:t>Geoforum</w:t>
      </w:r>
      <w:r w:rsidR="00790751">
        <w:rPr>
          <w:lang w:val="en-GB"/>
        </w:rPr>
        <w:t>,</w:t>
      </w:r>
      <w:r>
        <w:rPr>
          <w:lang w:val="en-GB"/>
        </w:rPr>
        <w:t xml:space="preserve"> </w:t>
      </w:r>
      <w:r w:rsidRPr="00EB63F1">
        <w:rPr>
          <w:i/>
          <w:lang w:val="en-GB"/>
        </w:rPr>
        <w:t>63</w:t>
      </w:r>
      <w:r>
        <w:rPr>
          <w:lang w:val="en-GB"/>
        </w:rPr>
        <w:t>(1</w:t>
      </w:r>
      <w:r w:rsidR="00A33EEC">
        <w:rPr>
          <w:lang w:val="en-GB"/>
        </w:rPr>
        <w:t xml:space="preserve">), </w:t>
      </w:r>
      <w:r>
        <w:rPr>
          <w:lang w:val="en-GB"/>
        </w:rPr>
        <w:t>25</w:t>
      </w:r>
      <w:r w:rsidR="00CA67D4" w:rsidRPr="000050B8">
        <w:rPr>
          <w:rFonts w:eastAsia="TimesTenLTStd-Roman"/>
          <w:szCs w:val="22"/>
          <w:lang w:val="en-GB"/>
        </w:rPr>
        <w:t>–</w:t>
      </w:r>
      <w:r>
        <w:rPr>
          <w:lang w:val="en-GB"/>
        </w:rPr>
        <w:t>35.</w:t>
      </w:r>
    </w:p>
    <w:p w14:paraId="32DB2187" w14:textId="34D2903E" w:rsidR="004A5A4B" w:rsidRPr="000050B8" w:rsidRDefault="001D3666" w:rsidP="00C43B94">
      <w:pPr>
        <w:spacing w:line="480" w:lineRule="auto"/>
        <w:rPr>
          <w:lang w:val="en-GB"/>
        </w:rPr>
      </w:pPr>
      <w:r w:rsidRPr="000050B8">
        <w:rPr>
          <w:lang w:val="en-GB"/>
        </w:rPr>
        <w:t>Fitjar, R.D.,</w:t>
      </w:r>
      <w:r w:rsidR="007D6D17">
        <w:rPr>
          <w:lang w:val="en-GB"/>
        </w:rPr>
        <w:t xml:space="preserve"> &amp;</w:t>
      </w:r>
      <w:r w:rsidRPr="000050B8">
        <w:rPr>
          <w:lang w:val="en-GB"/>
        </w:rPr>
        <w:t xml:space="preserve"> Rodríguez-Pose, A. </w:t>
      </w:r>
      <w:r w:rsidR="00CC6A5F">
        <w:rPr>
          <w:lang w:val="en-GB"/>
        </w:rPr>
        <w:t>(</w:t>
      </w:r>
      <w:r w:rsidRPr="000050B8">
        <w:rPr>
          <w:lang w:val="en-GB"/>
        </w:rPr>
        <w:t>201</w:t>
      </w:r>
      <w:r w:rsidR="000F2A5B">
        <w:rPr>
          <w:lang w:val="en-GB"/>
        </w:rPr>
        <w:t>7</w:t>
      </w:r>
      <w:r w:rsidR="00CC6A5F">
        <w:rPr>
          <w:lang w:val="en-GB"/>
        </w:rPr>
        <w:t>)</w:t>
      </w:r>
      <w:r w:rsidRPr="000050B8">
        <w:rPr>
          <w:lang w:val="en-GB"/>
        </w:rPr>
        <w:t xml:space="preserve">. Nothing is in the air. </w:t>
      </w:r>
      <w:r w:rsidRPr="000050B8">
        <w:rPr>
          <w:i/>
          <w:lang w:val="en-GB"/>
        </w:rPr>
        <w:t>Growth and Change</w:t>
      </w:r>
      <w:r w:rsidR="00790751">
        <w:rPr>
          <w:lang w:val="en-GB"/>
        </w:rPr>
        <w:t>,</w:t>
      </w:r>
      <w:r w:rsidRPr="000050B8">
        <w:rPr>
          <w:lang w:val="en-GB"/>
        </w:rPr>
        <w:t xml:space="preserve"> </w:t>
      </w:r>
      <w:r w:rsidR="00DE3725" w:rsidRPr="00EB63F1">
        <w:rPr>
          <w:i/>
          <w:lang w:val="en-GB"/>
        </w:rPr>
        <w:t>48</w:t>
      </w:r>
      <w:r w:rsidR="004A5A4B" w:rsidRPr="000050B8">
        <w:rPr>
          <w:lang w:val="en-GB"/>
        </w:rPr>
        <w:t>(</w:t>
      </w:r>
      <w:r w:rsidR="00DE3725" w:rsidRPr="000050B8">
        <w:rPr>
          <w:lang w:val="en-GB"/>
        </w:rPr>
        <w:t>1</w:t>
      </w:r>
      <w:r w:rsidR="00A33EEC" w:rsidRPr="000050B8">
        <w:rPr>
          <w:lang w:val="en-GB"/>
        </w:rPr>
        <w:t>)</w:t>
      </w:r>
      <w:r w:rsidR="00A33EEC">
        <w:rPr>
          <w:lang w:val="en-GB"/>
        </w:rPr>
        <w:t>,</w:t>
      </w:r>
      <w:r w:rsidR="00A33EEC" w:rsidRPr="000050B8">
        <w:rPr>
          <w:lang w:val="en-GB"/>
        </w:rPr>
        <w:t xml:space="preserve"> </w:t>
      </w:r>
      <w:r w:rsidR="00DE3725" w:rsidRPr="000050B8">
        <w:rPr>
          <w:lang w:val="en-GB"/>
        </w:rPr>
        <w:t xml:space="preserve">22–39. </w:t>
      </w:r>
    </w:p>
    <w:p w14:paraId="096B578C" w14:textId="15E22AD6" w:rsidR="00695B69" w:rsidRPr="000050B8" w:rsidRDefault="00695B69" w:rsidP="00C43B94">
      <w:pPr>
        <w:spacing w:line="480" w:lineRule="auto"/>
        <w:rPr>
          <w:lang w:val="en-GB"/>
        </w:rPr>
      </w:pPr>
      <w:r w:rsidRPr="000050B8">
        <w:rPr>
          <w:lang w:val="en-GB"/>
        </w:rPr>
        <w:t>Fitjar, R.D.,</w:t>
      </w:r>
      <w:r w:rsidR="007D6D17">
        <w:rPr>
          <w:lang w:val="en-GB"/>
        </w:rPr>
        <w:t xml:space="preserve"> &amp;</w:t>
      </w:r>
      <w:r w:rsidRPr="000050B8">
        <w:rPr>
          <w:lang w:val="en-GB"/>
        </w:rPr>
        <w:t xml:space="preserve"> Timmermans, B. </w:t>
      </w:r>
      <w:r w:rsidR="00CC6A5F">
        <w:rPr>
          <w:lang w:val="en-GB"/>
        </w:rPr>
        <w:t>(</w:t>
      </w:r>
      <w:r w:rsidRPr="000050B8">
        <w:rPr>
          <w:lang w:val="en-GB"/>
        </w:rPr>
        <w:t>2017</w:t>
      </w:r>
      <w:r w:rsidR="00CC6A5F">
        <w:rPr>
          <w:lang w:val="en-GB"/>
        </w:rPr>
        <w:t>)</w:t>
      </w:r>
      <w:r w:rsidRPr="000050B8">
        <w:rPr>
          <w:lang w:val="en-GB"/>
        </w:rPr>
        <w:t xml:space="preserve">. Regional skill relatedness: Towards a new measure of regional related diversification. </w:t>
      </w:r>
      <w:r w:rsidRPr="000050B8">
        <w:rPr>
          <w:i/>
          <w:lang w:val="en-GB"/>
        </w:rPr>
        <w:t>European Planning Studies</w:t>
      </w:r>
      <w:r w:rsidR="00790751">
        <w:rPr>
          <w:lang w:val="en-GB"/>
        </w:rPr>
        <w:t>,</w:t>
      </w:r>
      <w:r w:rsidRPr="000050B8">
        <w:rPr>
          <w:lang w:val="en-GB"/>
        </w:rPr>
        <w:t xml:space="preserve"> </w:t>
      </w:r>
      <w:r w:rsidRPr="00EB63F1">
        <w:rPr>
          <w:i/>
          <w:lang w:val="en-GB"/>
        </w:rPr>
        <w:t>25</w:t>
      </w:r>
      <w:r w:rsidRPr="000050B8">
        <w:rPr>
          <w:lang w:val="en-GB"/>
        </w:rPr>
        <w:t>(3</w:t>
      </w:r>
      <w:r w:rsidR="00A33EEC" w:rsidRPr="000050B8">
        <w:rPr>
          <w:lang w:val="en-GB"/>
        </w:rPr>
        <w:t>)</w:t>
      </w:r>
      <w:r w:rsidR="00A33EEC">
        <w:rPr>
          <w:lang w:val="en-GB"/>
        </w:rPr>
        <w:t>,</w:t>
      </w:r>
      <w:r w:rsidR="00A33EEC" w:rsidRPr="000050B8">
        <w:rPr>
          <w:lang w:val="en-GB"/>
        </w:rPr>
        <w:t xml:space="preserve"> </w:t>
      </w:r>
      <w:r w:rsidRPr="000050B8">
        <w:rPr>
          <w:lang w:val="en-GB"/>
        </w:rPr>
        <w:t>516</w:t>
      </w:r>
      <w:r w:rsidR="00CA67D4" w:rsidRPr="000050B8">
        <w:rPr>
          <w:rFonts w:eastAsia="TimesTenLTStd-Roman"/>
          <w:szCs w:val="22"/>
          <w:lang w:val="en-GB"/>
        </w:rPr>
        <w:t>–</w:t>
      </w:r>
      <w:r w:rsidRPr="000050B8">
        <w:rPr>
          <w:lang w:val="en-GB"/>
        </w:rPr>
        <w:t>538.</w:t>
      </w:r>
    </w:p>
    <w:p w14:paraId="39D6BD6B" w14:textId="1D5C9ED2" w:rsidR="00E62FAD" w:rsidRDefault="00E62FAD" w:rsidP="00C43B94">
      <w:pPr>
        <w:spacing w:line="480" w:lineRule="auto"/>
        <w:rPr>
          <w:lang w:val="en-GB"/>
        </w:rPr>
      </w:pPr>
      <w:r w:rsidRPr="000050B8">
        <w:rPr>
          <w:lang w:val="en-GB"/>
        </w:rPr>
        <w:t xml:space="preserve">Florida, R. </w:t>
      </w:r>
      <w:r w:rsidR="00CC6A5F">
        <w:rPr>
          <w:lang w:val="en-GB"/>
        </w:rPr>
        <w:t>(</w:t>
      </w:r>
      <w:r w:rsidRPr="000050B8">
        <w:rPr>
          <w:lang w:val="en-GB"/>
        </w:rPr>
        <w:t>2005</w:t>
      </w:r>
      <w:r w:rsidR="00CC6A5F">
        <w:rPr>
          <w:lang w:val="en-GB"/>
        </w:rPr>
        <w:t>)</w:t>
      </w:r>
      <w:r w:rsidRPr="000050B8">
        <w:rPr>
          <w:lang w:val="en-GB"/>
        </w:rPr>
        <w:t xml:space="preserve">. The world is spiky. </w:t>
      </w:r>
      <w:r w:rsidRPr="000050B8">
        <w:rPr>
          <w:i/>
          <w:lang w:val="en-GB"/>
        </w:rPr>
        <w:t>Atlantic Monthly</w:t>
      </w:r>
      <w:r w:rsidR="00790751">
        <w:rPr>
          <w:lang w:val="en-GB"/>
        </w:rPr>
        <w:t>,</w:t>
      </w:r>
      <w:r w:rsidRPr="000050B8">
        <w:rPr>
          <w:lang w:val="en-GB"/>
        </w:rPr>
        <w:t xml:space="preserve"> </w:t>
      </w:r>
      <w:r w:rsidRPr="00EB63F1">
        <w:rPr>
          <w:i/>
          <w:lang w:val="en-GB"/>
        </w:rPr>
        <w:t>296</w:t>
      </w:r>
      <w:r w:rsidRPr="000050B8">
        <w:rPr>
          <w:lang w:val="en-GB"/>
        </w:rPr>
        <w:t>(3</w:t>
      </w:r>
      <w:r w:rsidR="00A33EEC" w:rsidRPr="000050B8">
        <w:rPr>
          <w:lang w:val="en-GB"/>
        </w:rPr>
        <w:t>)</w:t>
      </w:r>
      <w:r w:rsidR="00A33EEC">
        <w:rPr>
          <w:lang w:val="en-GB"/>
        </w:rPr>
        <w:t>,</w:t>
      </w:r>
      <w:r w:rsidR="00A33EEC" w:rsidRPr="000050B8">
        <w:rPr>
          <w:lang w:val="en-GB"/>
        </w:rPr>
        <w:t xml:space="preserve"> </w:t>
      </w:r>
      <w:r w:rsidRPr="000050B8">
        <w:rPr>
          <w:lang w:val="en-GB"/>
        </w:rPr>
        <w:t>48</w:t>
      </w:r>
      <w:r w:rsidR="00CA67D4" w:rsidRPr="000050B8">
        <w:rPr>
          <w:rFonts w:eastAsia="TimesTenLTStd-Roman"/>
          <w:szCs w:val="22"/>
          <w:lang w:val="en-GB"/>
        </w:rPr>
        <w:t>–</w:t>
      </w:r>
      <w:r w:rsidRPr="000050B8">
        <w:rPr>
          <w:lang w:val="en-GB"/>
        </w:rPr>
        <w:t>51.</w:t>
      </w:r>
    </w:p>
    <w:p w14:paraId="76C967DC" w14:textId="59E47324" w:rsidR="00EC3F21" w:rsidRPr="00EC3F21" w:rsidRDefault="00EC3F21" w:rsidP="00C43B94">
      <w:pPr>
        <w:spacing w:line="480" w:lineRule="auto"/>
        <w:rPr>
          <w:lang w:val="en-GB"/>
        </w:rPr>
      </w:pPr>
      <w:proofErr w:type="spellStart"/>
      <w:r>
        <w:rPr>
          <w:lang w:val="en-GB"/>
        </w:rPr>
        <w:t>Forslid</w:t>
      </w:r>
      <w:proofErr w:type="spellEnd"/>
      <w:r>
        <w:rPr>
          <w:lang w:val="en-GB"/>
        </w:rPr>
        <w:t>, R.,</w:t>
      </w:r>
      <w:r w:rsidR="007D6D17">
        <w:rPr>
          <w:lang w:val="en-GB"/>
        </w:rPr>
        <w:t xml:space="preserve"> &amp;</w:t>
      </w:r>
      <w:r>
        <w:rPr>
          <w:lang w:val="en-GB"/>
        </w:rPr>
        <w:t xml:space="preserve"> Okubo, T. </w:t>
      </w:r>
      <w:r w:rsidR="00CC6A5F">
        <w:rPr>
          <w:lang w:val="en-GB"/>
        </w:rPr>
        <w:t>(</w:t>
      </w:r>
      <w:r>
        <w:rPr>
          <w:lang w:val="en-GB"/>
        </w:rPr>
        <w:t>2015</w:t>
      </w:r>
      <w:r w:rsidR="00CC6A5F">
        <w:rPr>
          <w:lang w:val="en-GB"/>
        </w:rPr>
        <w:t>)</w:t>
      </w:r>
      <w:r>
        <w:rPr>
          <w:lang w:val="en-GB"/>
        </w:rPr>
        <w:t xml:space="preserve">. Which firms are left in the periphery? Spatial sorting of heterogeneous firms with scale economies in transportation. </w:t>
      </w:r>
      <w:r>
        <w:rPr>
          <w:i/>
          <w:lang w:val="en-GB"/>
        </w:rPr>
        <w:t>Journal of Regional Science</w:t>
      </w:r>
      <w:r w:rsidR="00790751">
        <w:rPr>
          <w:lang w:val="en-GB"/>
        </w:rPr>
        <w:t>,</w:t>
      </w:r>
      <w:r>
        <w:rPr>
          <w:lang w:val="en-GB"/>
        </w:rPr>
        <w:t xml:space="preserve"> </w:t>
      </w:r>
      <w:r w:rsidRPr="00EB63F1">
        <w:rPr>
          <w:i/>
          <w:lang w:val="en-GB"/>
        </w:rPr>
        <w:t>55</w:t>
      </w:r>
      <w:r>
        <w:rPr>
          <w:lang w:val="en-GB"/>
        </w:rPr>
        <w:t>(1</w:t>
      </w:r>
      <w:r w:rsidR="00A33EEC">
        <w:rPr>
          <w:lang w:val="en-GB"/>
        </w:rPr>
        <w:t xml:space="preserve">), </w:t>
      </w:r>
      <w:r>
        <w:rPr>
          <w:lang w:val="en-GB"/>
        </w:rPr>
        <w:t>51</w:t>
      </w:r>
      <w:r w:rsidR="00CA67D4" w:rsidRPr="000050B8">
        <w:rPr>
          <w:rFonts w:eastAsia="TimesTenLTStd-Roman"/>
          <w:szCs w:val="22"/>
          <w:lang w:val="en-GB"/>
        </w:rPr>
        <w:t>–</w:t>
      </w:r>
      <w:r>
        <w:rPr>
          <w:lang w:val="en-GB"/>
        </w:rPr>
        <w:t>65.</w:t>
      </w:r>
    </w:p>
    <w:p w14:paraId="6F796EC0" w14:textId="30B43542" w:rsidR="000F2A5B" w:rsidRPr="000F2A5B" w:rsidRDefault="000F2A5B" w:rsidP="00C43B94">
      <w:pPr>
        <w:spacing w:line="480" w:lineRule="auto"/>
        <w:rPr>
          <w:lang w:val="en-GB"/>
        </w:rPr>
      </w:pPr>
      <w:r w:rsidRPr="00EB63F1">
        <w:rPr>
          <w:lang w:val="en-GB"/>
        </w:rPr>
        <w:t>Frick, S.A.,</w:t>
      </w:r>
      <w:r w:rsidR="007D6D17" w:rsidRPr="00EB63F1">
        <w:rPr>
          <w:lang w:val="en-GB"/>
        </w:rPr>
        <w:t xml:space="preserve"> &amp;</w:t>
      </w:r>
      <w:r w:rsidRPr="00EB63F1">
        <w:rPr>
          <w:lang w:val="en-GB"/>
        </w:rPr>
        <w:t xml:space="preserve"> Rodríguez-Pose, A. </w:t>
      </w:r>
      <w:r w:rsidR="00CC6A5F" w:rsidRPr="00EB63F1">
        <w:rPr>
          <w:lang w:val="en-GB"/>
        </w:rPr>
        <w:t>(</w:t>
      </w:r>
      <w:r w:rsidRPr="00EB63F1">
        <w:rPr>
          <w:lang w:val="en-GB"/>
        </w:rPr>
        <w:t>2018</w:t>
      </w:r>
      <w:r w:rsidR="00CC6A5F" w:rsidRPr="00EB63F1">
        <w:rPr>
          <w:lang w:val="en-GB"/>
        </w:rPr>
        <w:t>)</w:t>
      </w:r>
      <w:r w:rsidRPr="00EB63F1">
        <w:rPr>
          <w:lang w:val="en-GB"/>
        </w:rPr>
        <w:t xml:space="preserve">. </w:t>
      </w:r>
      <w:r>
        <w:rPr>
          <w:lang w:val="en-GB"/>
        </w:rPr>
        <w:t xml:space="preserve">Big or small cities? On city size and economic growth. </w:t>
      </w:r>
      <w:r>
        <w:rPr>
          <w:i/>
          <w:lang w:val="en-GB"/>
        </w:rPr>
        <w:t>Growth and Change</w:t>
      </w:r>
      <w:r w:rsidR="00790751">
        <w:rPr>
          <w:lang w:val="en-GB"/>
        </w:rPr>
        <w:t>,</w:t>
      </w:r>
      <w:r>
        <w:rPr>
          <w:lang w:val="en-GB"/>
        </w:rPr>
        <w:t xml:space="preserve"> </w:t>
      </w:r>
      <w:r w:rsidRPr="00EB63F1">
        <w:rPr>
          <w:i/>
          <w:lang w:val="en-GB"/>
        </w:rPr>
        <w:t>49</w:t>
      </w:r>
      <w:r>
        <w:rPr>
          <w:lang w:val="en-GB"/>
        </w:rPr>
        <w:t>(1</w:t>
      </w:r>
      <w:r w:rsidR="00A33EEC">
        <w:rPr>
          <w:lang w:val="en-GB"/>
        </w:rPr>
        <w:t xml:space="preserve">), </w:t>
      </w:r>
      <w:r>
        <w:rPr>
          <w:lang w:val="en-GB"/>
        </w:rPr>
        <w:t>4</w:t>
      </w:r>
      <w:r w:rsidR="00CA67D4" w:rsidRPr="000050B8">
        <w:rPr>
          <w:rFonts w:eastAsia="TimesTenLTStd-Roman"/>
          <w:szCs w:val="22"/>
          <w:lang w:val="en-GB"/>
        </w:rPr>
        <w:t>–</w:t>
      </w:r>
      <w:r>
        <w:rPr>
          <w:lang w:val="en-GB"/>
        </w:rPr>
        <w:t>32.</w:t>
      </w:r>
    </w:p>
    <w:p w14:paraId="5BAC1986" w14:textId="0D1C1843" w:rsidR="000829B3" w:rsidRPr="000050B8" w:rsidRDefault="000829B3" w:rsidP="00C43B94">
      <w:pPr>
        <w:spacing w:line="480" w:lineRule="auto"/>
        <w:rPr>
          <w:lang w:val="en-GB"/>
        </w:rPr>
      </w:pPr>
      <w:r w:rsidRPr="000050B8">
        <w:rPr>
          <w:lang w:val="en-GB"/>
        </w:rPr>
        <w:t xml:space="preserve">Friedman, T. </w:t>
      </w:r>
      <w:r w:rsidR="00CC6A5F">
        <w:rPr>
          <w:lang w:val="en-GB"/>
        </w:rPr>
        <w:t>(</w:t>
      </w:r>
      <w:r w:rsidRPr="000050B8">
        <w:rPr>
          <w:lang w:val="en-GB"/>
        </w:rPr>
        <w:t>2005</w:t>
      </w:r>
      <w:r w:rsidR="00CC6A5F">
        <w:rPr>
          <w:lang w:val="en-GB"/>
        </w:rPr>
        <w:t>)</w:t>
      </w:r>
      <w:r w:rsidRPr="000050B8">
        <w:rPr>
          <w:lang w:val="en-GB"/>
        </w:rPr>
        <w:t xml:space="preserve">. </w:t>
      </w:r>
      <w:r w:rsidRPr="000050B8">
        <w:rPr>
          <w:i/>
          <w:lang w:val="en-GB"/>
        </w:rPr>
        <w:t>The World is Flat</w:t>
      </w:r>
      <w:r w:rsidRPr="000050B8">
        <w:rPr>
          <w:lang w:val="en-GB"/>
        </w:rPr>
        <w:t>. New York, NY: Farrar, Straus and Giroux.</w:t>
      </w:r>
    </w:p>
    <w:p w14:paraId="2E287DF5" w14:textId="262F88B2" w:rsidR="004929F1" w:rsidRPr="000050B8" w:rsidRDefault="004929F1" w:rsidP="00C43B94">
      <w:pPr>
        <w:spacing w:line="480" w:lineRule="auto"/>
        <w:rPr>
          <w:lang w:val="en-GB"/>
        </w:rPr>
      </w:pPr>
      <w:r w:rsidRPr="000050B8">
        <w:rPr>
          <w:lang w:val="en-GB"/>
        </w:rPr>
        <w:t xml:space="preserve">Fritsch, M. </w:t>
      </w:r>
      <w:r w:rsidR="00CC6A5F">
        <w:rPr>
          <w:lang w:val="en-GB"/>
        </w:rPr>
        <w:t>(</w:t>
      </w:r>
      <w:r w:rsidRPr="000050B8">
        <w:rPr>
          <w:lang w:val="en-GB"/>
        </w:rPr>
        <w:t>2003</w:t>
      </w:r>
      <w:r w:rsidR="00CC6A5F">
        <w:rPr>
          <w:lang w:val="en-GB"/>
        </w:rPr>
        <w:t>)</w:t>
      </w:r>
      <w:r w:rsidRPr="000050B8">
        <w:rPr>
          <w:lang w:val="en-GB"/>
        </w:rPr>
        <w:t xml:space="preserve">. Does R&amp;D-cooperation </w:t>
      </w:r>
      <w:proofErr w:type="spellStart"/>
      <w:r w:rsidRPr="000050B8">
        <w:rPr>
          <w:lang w:val="en-GB"/>
        </w:rPr>
        <w:t>behavior</w:t>
      </w:r>
      <w:proofErr w:type="spellEnd"/>
      <w:r w:rsidRPr="000050B8">
        <w:rPr>
          <w:lang w:val="en-GB"/>
        </w:rPr>
        <w:t xml:space="preserve"> differ between regions? </w:t>
      </w:r>
      <w:r w:rsidRPr="00E63EA5">
        <w:rPr>
          <w:i/>
          <w:lang w:val="en-GB"/>
        </w:rPr>
        <w:t>Industry and Innovation</w:t>
      </w:r>
      <w:r w:rsidR="00790751">
        <w:rPr>
          <w:lang w:val="en-GB"/>
        </w:rPr>
        <w:t>,</w:t>
      </w:r>
      <w:r w:rsidRPr="000050B8">
        <w:rPr>
          <w:lang w:val="en-GB"/>
        </w:rPr>
        <w:t xml:space="preserve"> </w:t>
      </w:r>
      <w:r w:rsidRPr="00EB63F1">
        <w:rPr>
          <w:i/>
          <w:lang w:val="en-GB"/>
        </w:rPr>
        <w:t>10</w:t>
      </w:r>
      <w:r w:rsidRPr="000050B8">
        <w:rPr>
          <w:lang w:val="en-GB"/>
        </w:rPr>
        <w:t>(1</w:t>
      </w:r>
      <w:r w:rsidR="00A33EEC" w:rsidRPr="000050B8">
        <w:rPr>
          <w:lang w:val="en-GB"/>
        </w:rPr>
        <w:t>)</w:t>
      </w:r>
      <w:r w:rsidR="00A33EEC">
        <w:rPr>
          <w:lang w:val="en-GB"/>
        </w:rPr>
        <w:t>,</w:t>
      </w:r>
      <w:r w:rsidR="00A33EEC" w:rsidRPr="000050B8">
        <w:rPr>
          <w:lang w:val="en-GB"/>
        </w:rPr>
        <w:t xml:space="preserve"> </w:t>
      </w:r>
      <w:r w:rsidRPr="000050B8">
        <w:rPr>
          <w:lang w:val="en-GB"/>
        </w:rPr>
        <w:t>25</w:t>
      </w:r>
      <w:r w:rsidR="00CA67D4" w:rsidRPr="000050B8">
        <w:rPr>
          <w:rFonts w:eastAsia="TimesTenLTStd-Roman"/>
          <w:szCs w:val="22"/>
          <w:lang w:val="en-GB"/>
        </w:rPr>
        <w:t>–</w:t>
      </w:r>
      <w:r w:rsidRPr="000050B8">
        <w:rPr>
          <w:lang w:val="en-GB"/>
        </w:rPr>
        <w:t>39.</w:t>
      </w:r>
    </w:p>
    <w:p w14:paraId="1CBDAF05" w14:textId="410B51E9" w:rsidR="00EA6222" w:rsidRPr="000050B8" w:rsidRDefault="00EA6222" w:rsidP="00C43B94">
      <w:pPr>
        <w:spacing w:line="480" w:lineRule="auto"/>
        <w:rPr>
          <w:sz w:val="32"/>
          <w:lang w:val="en-GB"/>
        </w:rPr>
      </w:pPr>
      <w:r w:rsidRPr="000050B8">
        <w:rPr>
          <w:color w:val="222222"/>
          <w:shd w:val="clear" w:color="auto" w:fill="FFFFFF"/>
          <w:lang w:val="en-GB"/>
        </w:rPr>
        <w:lastRenderedPageBreak/>
        <w:t xml:space="preserve">Gertler, M.S. </w:t>
      </w:r>
      <w:r w:rsidR="00CC6A5F">
        <w:rPr>
          <w:color w:val="222222"/>
          <w:shd w:val="clear" w:color="auto" w:fill="FFFFFF"/>
          <w:lang w:val="en-GB"/>
        </w:rPr>
        <w:t>(</w:t>
      </w:r>
      <w:r w:rsidRPr="000050B8">
        <w:rPr>
          <w:color w:val="222222"/>
          <w:shd w:val="clear" w:color="auto" w:fill="FFFFFF"/>
          <w:lang w:val="en-GB"/>
        </w:rPr>
        <w:t>2003</w:t>
      </w:r>
      <w:r w:rsidR="00CC6A5F">
        <w:rPr>
          <w:color w:val="222222"/>
          <w:shd w:val="clear" w:color="auto" w:fill="FFFFFF"/>
          <w:lang w:val="en-GB"/>
        </w:rPr>
        <w:t>)</w:t>
      </w:r>
      <w:r w:rsidRPr="000050B8">
        <w:rPr>
          <w:color w:val="222222"/>
          <w:shd w:val="clear" w:color="auto" w:fill="FFFFFF"/>
          <w:lang w:val="en-GB"/>
        </w:rPr>
        <w:t xml:space="preserve">. Tacit knowledge and the economic geography of context, or the undefinable </w:t>
      </w:r>
      <w:proofErr w:type="spellStart"/>
      <w:r w:rsidRPr="000050B8">
        <w:rPr>
          <w:color w:val="222222"/>
          <w:shd w:val="clear" w:color="auto" w:fill="FFFFFF"/>
          <w:lang w:val="en-GB"/>
        </w:rPr>
        <w:t>tacitness</w:t>
      </w:r>
      <w:proofErr w:type="spellEnd"/>
      <w:r w:rsidRPr="000050B8">
        <w:rPr>
          <w:color w:val="222222"/>
          <w:shd w:val="clear" w:color="auto" w:fill="FFFFFF"/>
          <w:lang w:val="en-GB"/>
        </w:rPr>
        <w:t xml:space="preserve"> of being (there).</w:t>
      </w:r>
      <w:r w:rsidRPr="000050B8">
        <w:rPr>
          <w:rStyle w:val="apple-converted-space"/>
          <w:color w:val="222222"/>
          <w:shd w:val="clear" w:color="auto" w:fill="FFFFFF"/>
          <w:lang w:val="en-GB"/>
        </w:rPr>
        <w:t> </w:t>
      </w:r>
      <w:r w:rsidRPr="000050B8">
        <w:rPr>
          <w:i/>
          <w:iCs/>
          <w:color w:val="222222"/>
          <w:shd w:val="clear" w:color="auto" w:fill="FFFFFF"/>
          <w:lang w:val="en-GB"/>
        </w:rPr>
        <w:t>Journal of Economic Geography</w:t>
      </w:r>
      <w:r w:rsidRPr="000050B8">
        <w:rPr>
          <w:color w:val="222222"/>
          <w:shd w:val="clear" w:color="auto" w:fill="FFFFFF"/>
          <w:lang w:val="en-GB"/>
        </w:rPr>
        <w:t>,</w:t>
      </w:r>
      <w:r w:rsidRPr="000050B8">
        <w:rPr>
          <w:rStyle w:val="apple-converted-space"/>
          <w:color w:val="222222"/>
          <w:shd w:val="clear" w:color="auto" w:fill="FFFFFF"/>
          <w:lang w:val="en-GB"/>
        </w:rPr>
        <w:t> </w:t>
      </w:r>
      <w:r w:rsidRPr="000050B8">
        <w:rPr>
          <w:i/>
          <w:iCs/>
          <w:color w:val="222222"/>
          <w:shd w:val="clear" w:color="auto" w:fill="FFFFFF"/>
          <w:lang w:val="en-GB"/>
        </w:rPr>
        <w:t>3</w:t>
      </w:r>
      <w:r w:rsidRPr="000050B8">
        <w:rPr>
          <w:color w:val="222222"/>
          <w:shd w:val="clear" w:color="auto" w:fill="FFFFFF"/>
          <w:lang w:val="en-GB"/>
        </w:rPr>
        <w:t>(1</w:t>
      </w:r>
      <w:r w:rsidR="00A33EEC" w:rsidRPr="000050B8">
        <w:rPr>
          <w:color w:val="222222"/>
          <w:shd w:val="clear" w:color="auto" w:fill="FFFFFF"/>
          <w:lang w:val="en-GB"/>
        </w:rPr>
        <w:t>)</w:t>
      </w:r>
      <w:r w:rsidR="00A33EEC">
        <w:rPr>
          <w:color w:val="222222"/>
          <w:shd w:val="clear" w:color="auto" w:fill="FFFFFF"/>
          <w:lang w:val="en-GB"/>
        </w:rPr>
        <w:t>,</w:t>
      </w:r>
      <w:r w:rsidR="00A33EEC" w:rsidRPr="000050B8">
        <w:rPr>
          <w:color w:val="222222"/>
          <w:shd w:val="clear" w:color="auto" w:fill="FFFFFF"/>
          <w:lang w:val="en-GB"/>
        </w:rPr>
        <w:t xml:space="preserve"> </w:t>
      </w:r>
      <w:r w:rsidRPr="000050B8">
        <w:rPr>
          <w:color w:val="222222"/>
          <w:shd w:val="clear" w:color="auto" w:fill="FFFFFF"/>
          <w:lang w:val="en-GB"/>
        </w:rPr>
        <w:t>75</w:t>
      </w:r>
      <w:r w:rsidR="00CA67D4" w:rsidRPr="000050B8">
        <w:rPr>
          <w:rFonts w:eastAsia="TimesTenLTStd-Roman"/>
          <w:szCs w:val="22"/>
          <w:lang w:val="en-GB"/>
        </w:rPr>
        <w:t>–</w:t>
      </w:r>
      <w:r w:rsidRPr="000050B8">
        <w:rPr>
          <w:color w:val="222222"/>
          <w:shd w:val="clear" w:color="auto" w:fill="FFFFFF"/>
          <w:lang w:val="en-GB"/>
        </w:rPr>
        <w:t>99.</w:t>
      </w:r>
    </w:p>
    <w:p w14:paraId="70D8903A" w14:textId="6D8EFBBC" w:rsidR="00EA6222" w:rsidRPr="000050B8" w:rsidRDefault="00563F9B" w:rsidP="004555B0">
      <w:pPr>
        <w:spacing w:line="480" w:lineRule="auto"/>
        <w:rPr>
          <w:lang w:val="en-GB"/>
        </w:rPr>
      </w:pPr>
      <w:r w:rsidRPr="000050B8">
        <w:rPr>
          <w:lang w:val="en-GB"/>
        </w:rPr>
        <w:t xml:space="preserve">Giuliani, E., </w:t>
      </w:r>
      <w:r w:rsidR="00E83CE0">
        <w:rPr>
          <w:lang w:val="en-GB"/>
        </w:rPr>
        <w:t xml:space="preserve">&amp; </w:t>
      </w:r>
      <w:r w:rsidRPr="000050B8">
        <w:rPr>
          <w:lang w:val="en-GB"/>
        </w:rPr>
        <w:t xml:space="preserve">Bell, M. </w:t>
      </w:r>
      <w:r w:rsidR="00CC6A5F">
        <w:rPr>
          <w:lang w:val="en-GB"/>
        </w:rPr>
        <w:t>(</w:t>
      </w:r>
      <w:r w:rsidRPr="000050B8">
        <w:rPr>
          <w:lang w:val="en-GB"/>
        </w:rPr>
        <w:t>2005</w:t>
      </w:r>
      <w:r w:rsidR="00CC6A5F">
        <w:rPr>
          <w:lang w:val="en-GB"/>
        </w:rPr>
        <w:t>)</w:t>
      </w:r>
      <w:r w:rsidRPr="000050B8">
        <w:rPr>
          <w:lang w:val="en-GB"/>
        </w:rPr>
        <w:t xml:space="preserve">. The micro-determinants of </w:t>
      </w:r>
      <w:proofErr w:type="spellStart"/>
      <w:r w:rsidRPr="000050B8">
        <w:rPr>
          <w:lang w:val="en-GB"/>
        </w:rPr>
        <w:t>meso</w:t>
      </w:r>
      <w:proofErr w:type="spellEnd"/>
      <w:r w:rsidRPr="000050B8">
        <w:rPr>
          <w:lang w:val="en-GB"/>
        </w:rPr>
        <w:t xml:space="preserve">-level learning and innovation: Evidence from a Chilean wine cluster. </w:t>
      </w:r>
      <w:r w:rsidRPr="000050B8">
        <w:rPr>
          <w:i/>
          <w:lang w:val="en-GB"/>
        </w:rPr>
        <w:t>Research Policy</w:t>
      </w:r>
      <w:r w:rsidR="00790751">
        <w:rPr>
          <w:lang w:val="en-GB"/>
        </w:rPr>
        <w:t>,</w:t>
      </w:r>
      <w:r w:rsidRPr="000050B8">
        <w:rPr>
          <w:lang w:val="en-GB"/>
        </w:rPr>
        <w:t xml:space="preserve"> </w:t>
      </w:r>
      <w:r w:rsidRPr="00EB63F1">
        <w:rPr>
          <w:i/>
          <w:lang w:val="en-GB"/>
        </w:rPr>
        <w:t>34</w:t>
      </w:r>
      <w:r w:rsidRPr="000050B8">
        <w:rPr>
          <w:lang w:val="en-GB"/>
        </w:rPr>
        <w:t>(1</w:t>
      </w:r>
      <w:r w:rsidR="00A33EEC" w:rsidRPr="000050B8">
        <w:rPr>
          <w:lang w:val="en-GB"/>
        </w:rPr>
        <w:t>)</w:t>
      </w:r>
      <w:r w:rsidR="00A33EEC">
        <w:rPr>
          <w:lang w:val="en-GB"/>
        </w:rPr>
        <w:t>,</w:t>
      </w:r>
      <w:r w:rsidR="00A33EEC" w:rsidRPr="000050B8">
        <w:rPr>
          <w:lang w:val="en-GB"/>
        </w:rPr>
        <w:t xml:space="preserve"> </w:t>
      </w:r>
      <w:r w:rsidRPr="000050B8">
        <w:rPr>
          <w:lang w:val="en-GB"/>
        </w:rPr>
        <w:t>47</w:t>
      </w:r>
      <w:r w:rsidR="00CA67D4" w:rsidRPr="000050B8">
        <w:rPr>
          <w:rFonts w:eastAsia="TimesTenLTStd-Roman"/>
          <w:szCs w:val="22"/>
          <w:lang w:val="en-GB"/>
        </w:rPr>
        <w:t>–</w:t>
      </w:r>
      <w:r w:rsidRPr="000050B8">
        <w:rPr>
          <w:lang w:val="en-GB"/>
        </w:rPr>
        <w:t>68.</w:t>
      </w:r>
    </w:p>
    <w:p w14:paraId="442C59AE" w14:textId="0459C7E9" w:rsidR="00A139C5" w:rsidRPr="000050B8" w:rsidRDefault="00EA6222" w:rsidP="004555B0">
      <w:pPr>
        <w:spacing w:line="480" w:lineRule="auto"/>
        <w:rPr>
          <w:szCs w:val="22"/>
          <w:lang w:val="en-GB"/>
        </w:rPr>
      </w:pPr>
      <w:r w:rsidRPr="000050B8">
        <w:rPr>
          <w:rStyle w:val="nlmstring-name"/>
          <w:szCs w:val="22"/>
          <w:lang w:val="en-GB"/>
        </w:rPr>
        <w:t>Glaeser E.</w:t>
      </w:r>
      <w:r w:rsidRPr="000050B8">
        <w:rPr>
          <w:szCs w:val="22"/>
          <w:lang w:val="en-GB"/>
        </w:rPr>
        <w:t xml:space="preserve"> </w:t>
      </w:r>
      <w:r w:rsidR="00CC6A5F">
        <w:rPr>
          <w:szCs w:val="22"/>
          <w:lang w:val="en-GB"/>
        </w:rPr>
        <w:t>(</w:t>
      </w:r>
      <w:r w:rsidRPr="000050B8">
        <w:rPr>
          <w:rStyle w:val="nlmyear"/>
          <w:szCs w:val="22"/>
          <w:lang w:val="en-GB"/>
        </w:rPr>
        <w:t>2011</w:t>
      </w:r>
      <w:r w:rsidR="00CC6A5F">
        <w:rPr>
          <w:rStyle w:val="nlmyear"/>
          <w:szCs w:val="22"/>
          <w:lang w:val="en-GB"/>
        </w:rPr>
        <w:t>)</w:t>
      </w:r>
      <w:r w:rsidRPr="000050B8">
        <w:rPr>
          <w:rStyle w:val="nlmyear"/>
          <w:szCs w:val="22"/>
          <w:lang w:val="en-GB"/>
        </w:rPr>
        <w:t>.</w:t>
      </w:r>
      <w:r w:rsidRPr="000050B8">
        <w:rPr>
          <w:szCs w:val="22"/>
          <w:lang w:val="en-GB"/>
        </w:rPr>
        <w:t xml:space="preserve"> </w:t>
      </w:r>
      <w:r w:rsidRPr="000050B8">
        <w:rPr>
          <w:i/>
          <w:szCs w:val="22"/>
          <w:lang w:val="en-GB"/>
        </w:rPr>
        <w:t>The Triumph of the City: How Our Greatest Invention Makes Us Richer, Smarter, Greener, Healthier, and Happier</w:t>
      </w:r>
      <w:r w:rsidRPr="000050B8">
        <w:rPr>
          <w:szCs w:val="22"/>
          <w:lang w:val="en-GB"/>
        </w:rPr>
        <w:t xml:space="preserve">. </w:t>
      </w:r>
      <w:proofErr w:type="spellStart"/>
      <w:r w:rsidRPr="000050B8">
        <w:rPr>
          <w:rStyle w:val="nlmpublisher-loc"/>
          <w:szCs w:val="22"/>
          <w:lang w:val="en-GB"/>
        </w:rPr>
        <w:t>Harmondsworth</w:t>
      </w:r>
      <w:proofErr w:type="spellEnd"/>
      <w:r w:rsidRPr="000050B8">
        <w:rPr>
          <w:szCs w:val="22"/>
          <w:lang w:val="en-GB"/>
        </w:rPr>
        <w:t xml:space="preserve">: </w:t>
      </w:r>
      <w:r w:rsidRPr="000050B8">
        <w:rPr>
          <w:rStyle w:val="nlmpublisher-name"/>
          <w:szCs w:val="22"/>
          <w:lang w:val="en-GB"/>
        </w:rPr>
        <w:t>Penguin</w:t>
      </w:r>
      <w:r w:rsidRPr="000050B8">
        <w:rPr>
          <w:szCs w:val="22"/>
          <w:lang w:val="en-GB"/>
        </w:rPr>
        <w:t>.</w:t>
      </w:r>
    </w:p>
    <w:p w14:paraId="7DF81DE7" w14:textId="71E64FEC" w:rsidR="00A139C5" w:rsidRPr="000050B8" w:rsidRDefault="00A139C5" w:rsidP="004555B0">
      <w:pPr>
        <w:spacing w:line="480" w:lineRule="auto"/>
        <w:rPr>
          <w:sz w:val="28"/>
          <w:szCs w:val="22"/>
          <w:lang w:val="en-GB"/>
        </w:rPr>
      </w:pPr>
      <w:r w:rsidRPr="005E6822">
        <w:rPr>
          <w:szCs w:val="22"/>
          <w:lang w:val="en-GB"/>
        </w:rPr>
        <w:t>Glaeser, E.L.</w:t>
      </w:r>
      <w:r w:rsidR="00DE3725" w:rsidRPr="005E6822">
        <w:rPr>
          <w:szCs w:val="22"/>
          <w:lang w:val="en-GB"/>
        </w:rPr>
        <w:t>,</w:t>
      </w:r>
      <w:r w:rsidR="007D6D17" w:rsidRPr="005E6822">
        <w:rPr>
          <w:szCs w:val="22"/>
          <w:lang w:val="en-GB"/>
        </w:rPr>
        <w:t xml:space="preserve"> &amp;</w:t>
      </w:r>
      <w:r w:rsidRPr="005E6822">
        <w:rPr>
          <w:szCs w:val="22"/>
          <w:lang w:val="en-GB"/>
        </w:rPr>
        <w:t xml:space="preserve"> Kerr, W.R. </w:t>
      </w:r>
      <w:r w:rsidR="00CC6A5F" w:rsidRPr="005E6822">
        <w:rPr>
          <w:szCs w:val="22"/>
          <w:lang w:val="en-GB"/>
        </w:rPr>
        <w:t>(</w:t>
      </w:r>
      <w:r w:rsidRPr="005E6822">
        <w:rPr>
          <w:szCs w:val="22"/>
          <w:lang w:val="en-GB"/>
        </w:rPr>
        <w:t>2009</w:t>
      </w:r>
      <w:r w:rsidR="00CC6A5F" w:rsidRPr="005E6822">
        <w:rPr>
          <w:szCs w:val="22"/>
          <w:lang w:val="en-GB"/>
        </w:rPr>
        <w:t>)</w:t>
      </w:r>
      <w:r w:rsidRPr="005E6822">
        <w:rPr>
          <w:szCs w:val="22"/>
          <w:lang w:val="en-GB"/>
        </w:rPr>
        <w:t xml:space="preserve">. </w:t>
      </w:r>
      <w:r w:rsidRPr="000050B8">
        <w:rPr>
          <w:rStyle w:val="smallcaps"/>
          <w:szCs w:val="22"/>
          <w:lang w:val="en-GB"/>
        </w:rPr>
        <w:t>Local Industrial Conditions and Entrepreneurship: How Much of the Spatial Distribution Can We Explain?</w:t>
      </w:r>
      <w:r w:rsidRPr="000050B8">
        <w:rPr>
          <w:szCs w:val="22"/>
          <w:lang w:val="en-GB"/>
        </w:rPr>
        <w:t xml:space="preserve"> </w:t>
      </w:r>
      <w:r w:rsidRPr="000050B8">
        <w:rPr>
          <w:i/>
          <w:szCs w:val="22"/>
          <w:lang w:val="en-GB"/>
        </w:rPr>
        <w:t>Journal of Economics &amp; Management Strategy</w:t>
      </w:r>
      <w:r w:rsidRPr="000050B8">
        <w:rPr>
          <w:szCs w:val="22"/>
          <w:lang w:val="en-GB"/>
        </w:rPr>
        <w:t xml:space="preserve">, </w:t>
      </w:r>
      <w:r w:rsidRPr="00EB63F1">
        <w:rPr>
          <w:i/>
          <w:szCs w:val="22"/>
          <w:lang w:val="en-GB"/>
        </w:rPr>
        <w:t>18</w:t>
      </w:r>
      <w:r w:rsidR="00A33EEC">
        <w:rPr>
          <w:szCs w:val="22"/>
          <w:lang w:val="en-GB"/>
        </w:rPr>
        <w:t>(3),</w:t>
      </w:r>
      <w:r w:rsidR="00A33EEC" w:rsidRPr="000050B8">
        <w:rPr>
          <w:szCs w:val="22"/>
          <w:lang w:val="en-GB"/>
        </w:rPr>
        <w:t xml:space="preserve"> </w:t>
      </w:r>
      <w:r w:rsidRPr="000050B8">
        <w:rPr>
          <w:szCs w:val="22"/>
          <w:lang w:val="en-GB"/>
        </w:rPr>
        <w:t xml:space="preserve">623–663. </w:t>
      </w:r>
    </w:p>
    <w:p w14:paraId="21EF263A" w14:textId="0FC623CD" w:rsidR="00724B81" w:rsidRPr="001A34A3" w:rsidRDefault="00724B81" w:rsidP="00C43B94">
      <w:pPr>
        <w:spacing w:line="480" w:lineRule="auto"/>
      </w:pPr>
      <w:r w:rsidRPr="000050B8">
        <w:rPr>
          <w:lang w:val="en-GB"/>
        </w:rPr>
        <w:t>Grillitsch, M.,</w:t>
      </w:r>
      <w:r w:rsidR="007D6D17">
        <w:rPr>
          <w:lang w:val="en-GB"/>
        </w:rPr>
        <w:t xml:space="preserve"> &amp;</w:t>
      </w:r>
      <w:r w:rsidRPr="000050B8">
        <w:rPr>
          <w:lang w:val="en-GB"/>
        </w:rPr>
        <w:t xml:space="preserve"> Nilsson, M. </w:t>
      </w:r>
      <w:r w:rsidR="00CC6A5F">
        <w:rPr>
          <w:lang w:val="en-GB"/>
        </w:rPr>
        <w:t>(</w:t>
      </w:r>
      <w:r w:rsidRPr="000050B8">
        <w:rPr>
          <w:lang w:val="en-GB"/>
        </w:rPr>
        <w:t>2015</w:t>
      </w:r>
      <w:r w:rsidR="00CC6A5F">
        <w:rPr>
          <w:lang w:val="en-GB"/>
        </w:rPr>
        <w:t>)</w:t>
      </w:r>
      <w:r w:rsidRPr="000050B8">
        <w:rPr>
          <w:lang w:val="en-GB"/>
        </w:rPr>
        <w:t xml:space="preserve">. Innovation in peripheral regions: Do collaborations compensate for a lack of local knowledge spillovers? </w:t>
      </w:r>
      <w:r w:rsidRPr="001A34A3">
        <w:rPr>
          <w:i/>
        </w:rPr>
        <w:t>Annals of Regional Science</w:t>
      </w:r>
      <w:r w:rsidR="00790751">
        <w:rPr>
          <w:lang w:val="en-GB"/>
        </w:rPr>
        <w:t>,</w:t>
      </w:r>
      <w:r w:rsidRPr="001A34A3">
        <w:t xml:space="preserve"> </w:t>
      </w:r>
      <w:r w:rsidRPr="00EB63F1">
        <w:rPr>
          <w:i/>
        </w:rPr>
        <w:t>54</w:t>
      </w:r>
      <w:r w:rsidRPr="001A34A3">
        <w:t>(1</w:t>
      </w:r>
      <w:r w:rsidR="00A33EEC" w:rsidRPr="001A34A3">
        <w:t>)</w:t>
      </w:r>
      <w:r w:rsidR="00A33EEC">
        <w:t>,</w:t>
      </w:r>
      <w:r w:rsidR="00A33EEC" w:rsidRPr="001A34A3">
        <w:t xml:space="preserve"> </w:t>
      </w:r>
      <w:r w:rsidRPr="001A34A3">
        <w:t>299</w:t>
      </w:r>
      <w:r w:rsidR="00CA67D4" w:rsidRPr="000050B8">
        <w:rPr>
          <w:rFonts w:eastAsia="TimesTenLTStd-Roman"/>
          <w:szCs w:val="22"/>
          <w:lang w:val="en-GB"/>
        </w:rPr>
        <w:t>–</w:t>
      </w:r>
      <w:r w:rsidRPr="001A34A3">
        <w:t>321.</w:t>
      </w:r>
    </w:p>
    <w:p w14:paraId="21D9548E" w14:textId="3F582A5E" w:rsidR="00C964AA" w:rsidRPr="00EB63F1" w:rsidRDefault="007B760C" w:rsidP="00C43B94">
      <w:pPr>
        <w:spacing w:line="480" w:lineRule="auto"/>
        <w:rPr>
          <w:lang w:val="en-GB"/>
        </w:rPr>
      </w:pPr>
      <w:r w:rsidRPr="001A34A3">
        <w:t>Gundersen, F.,</w:t>
      </w:r>
      <w:r w:rsidR="007D6D17">
        <w:t xml:space="preserve"> &amp;</w:t>
      </w:r>
      <w:r w:rsidRPr="001A34A3">
        <w:t xml:space="preserve"> Juvkam, D. </w:t>
      </w:r>
      <w:r w:rsidR="00CC6A5F">
        <w:t>(</w:t>
      </w:r>
      <w:r w:rsidRPr="001A34A3">
        <w:t>2013</w:t>
      </w:r>
      <w:r w:rsidR="00CC6A5F">
        <w:t>)</w:t>
      </w:r>
      <w:r w:rsidRPr="001A34A3">
        <w:t xml:space="preserve">. Inndelinger i senterstruktur, sentralitet og BA-regioner </w:t>
      </w:r>
      <w:r w:rsidR="00AC6BA5">
        <w:t>(</w:t>
      </w:r>
      <w:r w:rsidRPr="00EB63F1">
        <w:rPr>
          <w:lang w:val="en-GB"/>
        </w:rPr>
        <w:t>NIBR report 2013:1</w:t>
      </w:r>
      <w:r w:rsidR="00AC6BA5" w:rsidRPr="00EB63F1">
        <w:rPr>
          <w:lang w:val="en-GB"/>
        </w:rPr>
        <w:t>). Oslo: Norwegian Institute for Urban and Rural Research.</w:t>
      </w:r>
    </w:p>
    <w:p w14:paraId="70621666" w14:textId="1B5D57D8" w:rsidR="00005372" w:rsidRPr="00005372" w:rsidRDefault="00005372" w:rsidP="00C43B94">
      <w:pPr>
        <w:spacing w:line="480" w:lineRule="auto"/>
        <w:rPr>
          <w:lang w:val="en-GB"/>
        </w:rPr>
      </w:pPr>
      <w:r w:rsidRPr="003D5FBD">
        <w:rPr>
          <w:lang w:val="de-DE"/>
        </w:rPr>
        <w:t xml:space="preserve">Habersetzer, A., </w:t>
      </w:r>
      <w:proofErr w:type="spellStart"/>
      <w:r w:rsidRPr="003D5FBD">
        <w:rPr>
          <w:lang w:val="de-DE"/>
        </w:rPr>
        <w:t>Grèzes-Bürcher</w:t>
      </w:r>
      <w:proofErr w:type="spellEnd"/>
      <w:r w:rsidRPr="003D5FBD">
        <w:rPr>
          <w:lang w:val="de-DE"/>
        </w:rPr>
        <w:t>, S., Boschma, R.</w:t>
      </w:r>
      <w:r w:rsidR="007D6D17">
        <w:rPr>
          <w:lang w:val="de-DE"/>
        </w:rPr>
        <w:t>, &amp;</w:t>
      </w:r>
      <w:r w:rsidRPr="003D5FBD">
        <w:rPr>
          <w:lang w:val="de-DE"/>
        </w:rPr>
        <w:t xml:space="preserve"> Mayer, H. </w:t>
      </w:r>
      <w:r w:rsidR="00CC6A5F">
        <w:rPr>
          <w:lang w:val="de-DE"/>
        </w:rPr>
        <w:t>(</w:t>
      </w:r>
      <w:r w:rsidR="00F63F28" w:rsidRPr="003D5FBD">
        <w:rPr>
          <w:lang w:val="de-DE"/>
        </w:rPr>
        <w:t>201</w:t>
      </w:r>
      <w:r w:rsidR="00F63F28">
        <w:rPr>
          <w:lang w:val="de-DE"/>
        </w:rPr>
        <w:t>9</w:t>
      </w:r>
      <w:r w:rsidR="00CC6A5F">
        <w:rPr>
          <w:lang w:val="de-DE"/>
        </w:rPr>
        <w:t>)</w:t>
      </w:r>
      <w:r w:rsidRPr="003D5FBD">
        <w:rPr>
          <w:lang w:val="de-DE"/>
        </w:rPr>
        <w:t xml:space="preserve">. </w:t>
      </w:r>
      <w:r>
        <w:rPr>
          <w:lang w:val="en-GB"/>
        </w:rPr>
        <w:t xml:space="preserve">Enterprise-related social capital as a driver of firm growth in the periphery? </w:t>
      </w:r>
      <w:r>
        <w:rPr>
          <w:i/>
          <w:lang w:val="en-GB"/>
        </w:rPr>
        <w:t>Journal of Rural Studies</w:t>
      </w:r>
      <w:r w:rsidR="00F63F28">
        <w:rPr>
          <w:lang w:val="en-GB"/>
        </w:rPr>
        <w:t xml:space="preserve">, </w:t>
      </w:r>
      <w:r w:rsidR="00F63F28">
        <w:rPr>
          <w:i/>
          <w:lang w:val="en-GB"/>
        </w:rPr>
        <w:t>65</w:t>
      </w:r>
      <w:r w:rsidR="00F63F28">
        <w:rPr>
          <w:lang w:val="en-GB"/>
        </w:rPr>
        <w:t>(1), 143-151</w:t>
      </w:r>
      <w:r>
        <w:rPr>
          <w:lang w:val="en-GB"/>
        </w:rPr>
        <w:t xml:space="preserve">. </w:t>
      </w:r>
    </w:p>
    <w:p w14:paraId="1DE80AF0" w14:textId="7D6BE59D" w:rsidR="004353B6" w:rsidRPr="003D5FBD" w:rsidRDefault="004353B6" w:rsidP="00C43B94">
      <w:pPr>
        <w:spacing w:line="480" w:lineRule="auto"/>
        <w:rPr>
          <w:lang w:val="de-DE"/>
        </w:rPr>
      </w:pPr>
      <w:r w:rsidRPr="00E63EA5">
        <w:rPr>
          <w:lang w:val="en-GB"/>
        </w:rPr>
        <w:t xml:space="preserve">Herstad, S.J. </w:t>
      </w:r>
      <w:r w:rsidR="00CC6A5F">
        <w:rPr>
          <w:lang w:val="en-GB"/>
        </w:rPr>
        <w:t>(</w:t>
      </w:r>
      <w:r w:rsidR="00401ED5" w:rsidRPr="00E63EA5">
        <w:rPr>
          <w:lang w:val="en-GB"/>
        </w:rPr>
        <w:t>201</w:t>
      </w:r>
      <w:r w:rsidR="00401ED5">
        <w:rPr>
          <w:lang w:val="en-GB"/>
        </w:rPr>
        <w:t>8</w:t>
      </w:r>
      <w:r w:rsidR="00CC6A5F">
        <w:rPr>
          <w:lang w:val="en-GB"/>
        </w:rPr>
        <w:t>)</w:t>
      </w:r>
      <w:r w:rsidRPr="00E63EA5">
        <w:rPr>
          <w:lang w:val="en-GB"/>
        </w:rPr>
        <w:t xml:space="preserve">. Innovation strategy choices in the urban economy. </w:t>
      </w:r>
      <w:r w:rsidRPr="003D5FBD">
        <w:rPr>
          <w:i/>
          <w:lang w:val="de-DE"/>
        </w:rPr>
        <w:t>Urban Studies</w:t>
      </w:r>
      <w:r w:rsidR="00401ED5">
        <w:rPr>
          <w:lang w:val="de-DE"/>
        </w:rPr>
        <w:t xml:space="preserve">, </w:t>
      </w:r>
      <w:r w:rsidR="00401ED5">
        <w:rPr>
          <w:i/>
          <w:lang w:val="de-DE"/>
        </w:rPr>
        <w:t>55</w:t>
      </w:r>
      <w:r w:rsidR="00401ED5">
        <w:rPr>
          <w:lang w:val="de-DE"/>
        </w:rPr>
        <w:t>(6), 1185</w:t>
      </w:r>
      <w:r w:rsidR="00401ED5" w:rsidRPr="005E6822">
        <w:rPr>
          <w:szCs w:val="22"/>
          <w:lang w:val="de-DE"/>
        </w:rPr>
        <w:t>–</w:t>
      </w:r>
      <w:r w:rsidR="00401ED5">
        <w:rPr>
          <w:lang w:val="de-DE"/>
        </w:rPr>
        <w:t>1202</w:t>
      </w:r>
      <w:r w:rsidRPr="003D5FBD">
        <w:rPr>
          <w:lang w:val="de-DE"/>
        </w:rPr>
        <w:t xml:space="preserve">. </w:t>
      </w:r>
    </w:p>
    <w:p w14:paraId="7AB4162F" w14:textId="5D193157" w:rsidR="007B760C" w:rsidRPr="000050B8" w:rsidRDefault="004472B9" w:rsidP="00C43B94">
      <w:pPr>
        <w:spacing w:line="480" w:lineRule="auto"/>
        <w:rPr>
          <w:lang w:val="en-GB"/>
        </w:rPr>
      </w:pPr>
      <w:r w:rsidRPr="00EB63F1">
        <w:rPr>
          <w:lang w:val="de-DE"/>
        </w:rPr>
        <w:t xml:space="preserve">Herstad, S.J., </w:t>
      </w:r>
      <w:proofErr w:type="spellStart"/>
      <w:r w:rsidRPr="00EB63F1">
        <w:rPr>
          <w:lang w:val="de-DE"/>
        </w:rPr>
        <w:t>Aslesen</w:t>
      </w:r>
      <w:proofErr w:type="spellEnd"/>
      <w:r w:rsidRPr="00EB63F1">
        <w:rPr>
          <w:lang w:val="de-DE"/>
        </w:rPr>
        <w:t xml:space="preserve">, H.W., </w:t>
      </w:r>
      <w:r w:rsidR="007D6D17" w:rsidRPr="00EB63F1">
        <w:rPr>
          <w:lang w:val="de-DE"/>
        </w:rPr>
        <w:t xml:space="preserve">&amp; </w:t>
      </w:r>
      <w:r w:rsidRPr="00EB63F1">
        <w:rPr>
          <w:lang w:val="de-DE"/>
        </w:rPr>
        <w:t xml:space="preserve">Ebersberger, B. </w:t>
      </w:r>
      <w:r w:rsidR="00CC6A5F" w:rsidRPr="00EB63F1">
        <w:rPr>
          <w:lang w:val="de-DE"/>
        </w:rPr>
        <w:t>(</w:t>
      </w:r>
      <w:r w:rsidRPr="00EB63F1">
        <w:rPr>
          <w:lang w:val="de-DE"/>
        </w:rPr>
        <w:t>2014</w:t>
      </w:r>
      <w:r w:rsidR="00CC6A5F" w:rsidRPr="00EB63F1">
        <w:rPr>
          <w:lang w:val="de-DE"/>
        </w:rPr>
        <w:t>)</w:t>
      </w:r>
      <w:r w:rsidRPr="00EB63F1">
        <w:rPr>
          <w:lang w:val="de-DE"/>
        </w:rPr>
        <w:t xml:space="preserve">. </w:t>
      </w:r>
      <w:r w:rsidRPr="000050B8">
        <w:rPr>
          <w:lang w:val="en-GB"/>
        </w:rPr>
        <w:t xml:space="preserve">On industrial knowledge bases, commercial opportunities and global innovation network linkages. </w:t>
      </w:r>
      <w:r w:rsidRPr="000050B8">
        <w:rPr>
          <w:i/>
          <w:lang w:val="en-GB"/>
        </w:rPr>
        <w:t>Research Policy</w:t>
      </w:r>
      <w:r w:rsidR="00790751">
        <w:rPr>
          <w:lang w:val="en-GB"/>
        </w:rPr>
        <w:t>,</w:t>
      </w:r>
      <w:r w:rsidRPr="000050B8">
        <w:rPr>
          <w:lang w:val="en-GB"/>
        </w:rPr>
        <w:t xml:space="preserve"> </w:t>
      </w:r>
      <w:r w:rsidRPr="00EB63F1">
        <w:rPr>
          <w:i/>
          <w:lang w:val="en-GB"/>
        </w:rPr>
        <w:t>43</w:t>
      </w:r>
      <w:r w:rsidRPr="000050B8">
        <w:rPr>
          <w:lang w:val="en-GB"/>
        </w:rPr>
        <w:t>(3</w:t>
      </w:r>
      <w:r w:rsidR="00A33EEC" w:rsidRPr="000050B8">
        <w:rPr>
          <w:lang w:val="en-GB"/>
        </w:rPr>
        <w:t>)</w:t>
      </w:r>
      <w:r w:rsidR="00A33EEC">
        <w:rPr>
          <w:lang w:val="en-GB"/>
        </w:rPr>
        <w:t>,</w:t>
      </w:r>
      <w:r w:rsidR="00A33EEC" w:rsidRPr="000050B8">
        <w:rPr>
          <w:lang w:val="en-GB"/>
        </w:rPr>
        <w:t xml:space="preserve"> </w:t>
      </w:r>
      <w:r w:rsidRPr="000050B8">
        <w:rPr>
          <w:lang w:val="en-GB"/>
        </w:rPr>
        <w:t>495</w:t>
      </w:r>
      <w:r w:rsidR="00CA67D4" w:rsidRPr="000050B8">
        <w:rPr>
          <w:rFonts w:eastAsia="TimesTenLTStd-Roman"/>
          <w:szCs w:val="22"/>
          <w:lang w:val="en-GB"/>
        </w:rPr>
        <w:t>–</w:t>
      </w:r>
      <w:r w:rsidRPr="000050B8">
        <w:rPr>
          <w:lang w:val="en-GB"/>
        </w:rPr>
        <w:t>504.</w:t>
      </w:r>
    </w:p>
    <w:p w14:paraId="57292C63" w14:textId="0FA40F21" w:rsidR="00D6737A" w:rsidRPr="000050B8" w:rsidRDefault="00D6737A" w:rsidP="00C43B94">
      <w:pPr>
        <w:spacing w:line="480" w:lineRule="auto"/>
        <w:rPr>
          <w:lang w:val="en-GB"/>
        </w:rPr>
      </w:pPr>
      <w:r w:rsidRPr="005E6822">
        <w:rPr>
          <w:lang w:val="en-GB"/>
        </w:rPr>
        <w:lastRenderedPageBreak/>
        <w:t>Herstad, S.J.,</w:t>
      </w:r>
      <w:r w:rsidR="007D6D17" w:rsidRPr="005E6822">
        <w:rPr>
          <w:lang w:val="en-GB"/>
        </w:rPr>
        <w:t xml:space="preserve"> &amp;</w:t>
      </w:r>
      <w:r w:rsidRPr="005E6822">
        <w:rPr>
          <w:lang w:val="en-GB"/>
        </w:rPr>
        <w:t xml:space="preserve"> Ebersberger, B. </w:t>
      </w:r>
      <w:r w:rsidR="00CC6A5F" w:rsidRPr="005E6822">
        <w:rPr>
          <w:lang w:val="en-GB"/>
        </w:rPr>
        <w:t>(</w:t>
      </w:r>
      <w:r w:rsidRPr="005E6822">
        <w:rPr>
          <w:lang w:val="en-GB"/>
        </w:rPr>
        <w:t>2015</w:t>
      </w:r>
      <w:r w:rsidR="00CC6A5F" w:rsidRPr="005E6822">
        <w:rPr>
          <w:lang w:val="en-GB"/>
        </w:rPr>
        <w:t>)</w:t>
      </w:r>
      <w:r w:rsidRPr="005E6822">
        <w:rPr>
          <w:lang w:val="en-GB"/>
        </w:rPr>
        <w:t xml:space="preserve">. </w:t>
      </w:r>
      <w:r w:rsidRPr="000050B8">
        <w:rPr>
          <w:lang w:val="en-GB"/>
        </w:rPr>
        <w:t xml:space="preserve">On the link between urban location and the involvement of knowledge-intensive business services firms in collaboration networks. </w:t>
      </w:r>
      <w:r w:rsidRPr="000050B8">
        <w:rPr>
          <w:i/>
          <w:lang w:val="en-GB"/>
        </w:rPr>
        <w:t>Regional Studies</w:t>
      </w:r>
      <w:r w:rsidR="00790751">
        <w:rPr>
          <w:lang w:val="en-GB"/>
        </w:rPr>
        <w:t>,</w:t>
      </w:r>
      <w:r w:rsidRPr="000050B8">
        <w:rPr>
          <w:lang w:val="en-GB"/>
        </w:rPr>
        <w:t xml:space="preserve"> </w:t>
      </w:r>
      <w:r w:rsidRPr="00EB63F1">
        <w:rPr>
          <w:i/>
          <w:lang w:val="en-GB"/>
        </w:rPr>
        <w:t>49</w:t>
      </w:r>
      <w:r w:rsidRPr="000050B8">
        <w:rPr>
          <w:lang w:val="en-GB"/>
        </w:rPr>
        <w:t>(7</w:t>
      </w:r>
      <w:r w:rsidR="00A33EEC" w:rsidRPr="000050B8">
        <w:rPr>
          <w:lang w:val="en-GB"/>
        </w:rPr>
        <w:t>)</w:t>
      </w:r>
      <w:r w:rsidR="00A33EEC">
        <w:rPr>
          <w:lang w:val="en-GB"/>
        </w:rPr>
        <w:t>,</w:t>
      </w:r>
      <w:r w:rsidR="00A33EEC" w:rsidRPr="000050B8">
        <w:rPr>
          <w:lang w:val="en-GB"/>
        </w:rPr>
        <w:t xml:space="preserve"> </w:t>
      </w:r>
      <w:r w:rsidRPr="000050B8">
        <w:rPr>
          <w:lang w:val="en-GB"/>
        </w:rPr>
        <w:t>1160</w:t>
      </w:r>
      <w:r w:rsidR="00CA67D4" w:rsidRPr="000050B8">
        <w:rPr>
          <w:rFonts w:eastAsia="TimesTenLTStd-Roman"/>
          <w:szCs w:val="22"/>
          <w:lang w:val="en-GB"/>
        </w:rPr>
        <w:t>–</w:t>
      </w:r>
      <w:r w:rsidRPr="000050B8">
        <w:rPr>
          <w:lang w:val="en-GB"/>
        </w:rPr>
        <w:t>1175.</w:t>
      </w:r>
    </w:p>
    <w:p w14:paraId="39009D87" w14:textId="25BA8C7C" w:rsidR="0030698C" w:rsidRPr="00E63EA5" w:rsidRDefault="0030698C" w:rsidP="0030698C">
      <w:pPr>
        <w:spacing w:line="480" w:lineRule="auto"/>
        <w:rPr>
          <w:lang w:val="en-GB"/>
        </w:rPr>
      </w:pPr>
      <w:r w:rsidRPr="00EB63F1">
        <w:rPr>
          <w:lang w:val="en-GB"/>
        </w:rPr>
        <w:t xml:space="preserve">Herstad, S.J., </w:t>
      </w:r>
      <w:proofErr w:type="spellStart"/>
      <w:r w:rsidRPr="00EB63F1">
        <w:rPr>
          <w:lang w:val="en-GB"/>
        </w:rPr>
        <w:t>Sandven</w:t>
      </w:r>
      <w:proofErr w:type="spellEnd"/>
      <w:r w:rsidRPr="00EB63F1">
        <w:rPr>
          <w:lang w:val="en-GB"/>
        </w:rPr>
        <w:t>. T.</w:t>
      </w:r>
      <w:r w:rsidR="007D6D17" w:rsidRPr="00EB63F1">
        <w:rPr>
          <w:lang w:val="en-GB"/>
        </w:rPr>
        <w:t xml:space="preserve"> &amp;</w:t>
      </w:r>
      <w:r w:rsidRPr="00EB63F1">
        <w:rPr>
          <w:lang w:val="en-GB"/>
        </w:rPr>
        <w:t xml:space="preserve"> Solberg, E. </w:t>
      </w:r>
      <w:r w:rsidR="00CC6A5F" w:rsidRPr="00EB63F1">
        <w:rPr>
          <w:lang w:val="en-GB"/>
        </w:rPr>
        <w:t>(</w:t>
      </w:r>
      <w:r w:rsidRPr="00EB63F1">
        <w:rPr>
          <w:lang w:val="en-GB"/>
        </w:rPr>
        <w:t>2013</w:t>
      </w:r>
      <w:r w:rsidR="00CC6A5F" w:rsidRPr="00EB63F1">
        <w:rPr>
          <w:lang w:val="en-GB"/>
        </w:rPr>
        <w:t>)</w:t>
      </w:r>
      <w:r w:rsidRPr="00EB63F1">
        <w:rPr>
          <w:lang w:val="en-GB"/>
        </w:rPr>
        <w:t xml:space="preserve">. </w:t>
      </w:r>
      <w:r w:rsidRPr="00E63EA5">
        <w:rPr>
          <w:lang w:val="en-GB"/>
        </w:rPr>
        <w:t xml:space="preserve">Location, education and enterprise growth. </w:t>
      </w:r>
      <w:r w:rsidRPr="00E63EA5">
        <w:rPr>
          <w:i/>
          <w:lang w:val="en-GB"/>
        </w:rPr>
        <w:t>Applied Economics Letters</w:t>
      </w:r>
      <w:r w:rsidR="00790751">
        <w:rPr>
          <w:lang w:val="en-GB"/>
        </w:rPr>
        <w:t>,</w:t>
      </w:r>
      <w:r w:rsidRPr="00E63EA5">
        <w:rPr>
          <w:lang w:val="en-GB"/>
        </w:rPr>
        <w:t xml:space="preserve"> 20(10): 1019</w:t>
      </w:r>
      <w:r w:rsidR="00CA67D4" w:rsidRPr="000050B8">
        <w:rPr>
          <w:rFonts w:eastAsia="TimesTenLTStd-Roman"/>
          <w:szCs w:val="22"/>
          <w:lang w:val="en-GB"/>
        </w:rPr>
        <w:t>–</w:t>
      </w:r>
      <w:r w:rsidRPr="00E63EA5">
        <w:rPr>
          <w:lang w:val="en-GB"/>
        </w:rPr>
        <w:t>1022.</w:t>
      </w:r>
    </w:p>
    <w:p w14:paraId="5F0F8FC4" w14:textId="688BC8A2" w:rsidR="005A7C65" w:rsidRPr="000050B8" w:rsidRDefault="00416841" w:rsidP="004555B0">
      <w:pPr>
        <w:spacing w:line="480" w:lineRule="auto"/>
        <w:rPr>
          <w:lang w:val="en-GB"/>
        </w:rPr>
      </w:pPr>
      <w:r w:rsidRPr="000050B8">
        <w:rPr>
          <w:lang w:val="en-GB"/>
        </w:rPr>
        <w:t xml:space="preserve">Huber, F. </w:t>
      </w:r>
      <w:r w:rsidR="00CC6A5F">
        <w:rPr>
          <w:lang w:val="en-GB"/>
        </w:rPr>
        <w:t>(</w:t>
      </w:r>
      <w:r w:rsidRPr="000050B8">
        <w:rPr>
          <w:lang w:val="en-GB"/>
        </w:rPr>
        <w:t>2012</w:t>
      </w:r>
      <w:r w:rsidR="00CC6A5F">
        <w:rPr>
          <w:lang w:val="en-GB"/>
        </w:rPr>
        <w:t>)</w:t>
      </w:r>
      <w:r w:rsidRPr="000050B8">
        <w:rPr>
          <w:lang w:val="en-GB"/>
        </w:rPr>
        <w:t xml:space="preserve">. Do clusters really matter for innovation practices in information technology? Questioning the significance of technological knowledge spillovers. </w:t>
      </w:r>
      <w:r w:rsidRPr="000050B8">
        <w:rPr>
          <w:i/>
          <w:lang w:val="en-GB"/>
        </w:rPr>
        <w:t>Journal of Economic Geography</w:t>
      </w:r>
      <w:r w:rsidR="00790751">
        <w:rPr>
          <w:lang w:val="en-GB"/>
        </w:rPr>
        <w:t>,</w:t>
      </w:r>
      <w:r w:rsidRPr="000050B8">
        <w:rPr>
          <w:lang w:val="en-GB"/>
        </w:rPr>
        <w:t xml:space="preserve"> </w:t>
      </w:r>
      <w:r w:rsidRPr="00EB63F1">
        <w:rPr>
          <w:i/>
          <w:lang w:val="en-GB"/>
        </w:rPr>
        <w:t>12</w:t>
      </w:r>
      <w:r w:rsidRPr="000050B8">
        <w:rPr>
          <w:lang w:val="en-GB"/>
        </w:rPr>
        <w:t>(1</w:t>
      </w:r>
      <w:r w:rsidR="00A33EEC" w:rsidRPr="000050B8">
        <w:rPr>
          <w:lang w:val="en-GB"/>
        </w:rPr>
        <w:t>)</w:t>
      </w:r>
      <w:r w:rsidR="00A33EEC">
        <w:rPr>
          <w:lang w:val="en-GB"/>
        </w:rPr>
        <w:t>,</w:t>
      </w:r>
      <w:r w:rsidR="00A33EEC" w:rsidRPr="000050B8">
        <w:rPr>
          <w:lang w:val="en-GB"/>
        </w:rPr>
        <w:t xml:space="preserve"> </w:t>
      </w:r>
      <w:r w:rsidRPr="000050B8">
        <w:rPr>
          <w:lang w:val="en-GB"/>
        </w:rPr>
        <w:t>107</w:t>
      </w:r>
      <w:r w:rsidR="00CA67D4" w:rsidRPr="000050B8">
        <w:rPr>
          <w:rFonts w:eastAsia="TimesTenLTStd-Roman"/>
          <w:szCs w:val="22"/>
          <w:lang w:val="en-GB"/>
        </w:rPr>
        <w:t>–</w:t>
      </w:r>
      <w:r w:rsidRPr="000050B8">
        <w:rPr>
          <w:lang w:val="en-GB"/>
        </w:rPr>
        <w:t>126.</w:t>
      </w:r>
    </w:p>
    <w:p w14:paraId="57D2A757" w14:textId="559CD31B" w:rsidR="005A7C65" w:rsidRPr="000050B8" w:rsidRDefault="005A7C65" w:rsidP="004555B0">
      <w:pPr>
        <w:spacing w:line="480" w:lineRule="auto"/>
        <w:rPr>
          <w:sz w:val="28"/>
          <w:lang w:val="en-GB"/>
        </w:rPr>
      </w:pPr>
      <w:r w:rsidRPr="000050B8">
        <w:rPr>
          <w:szCs w:val="22"/>
          <w:lang w:val="en-GB"/>
        </w:rPr>
        <w:t xml:space="preserve">Iammarino, S. </w:t>
      </w:r>
      <w:r w:rsidR="00CC6A5F">
        <w:rPr>
          <w:szCs w:val="22"/>
          <w:lang w:val="en-GB"/>
        </w:rPr>
        <w:t>(</w:t>
      </w:r>
      <w:r w:rsidRPr="000050B8">
        <w:rPr>
          <w:szCs w:val="22"/>
          <w:lang w:val="en-GB"/>
        </w:rPr>
        <w:t>2005</w:t>
      </w:r>
      <w:r w:rsidR="00CC6A5F">
        <w:rPr>
          <w:szCs w:val="22"/>
          <w:lang w:val="en-GB"/>
        </w:rPr>
        <w:t>)</w:t>
      </w:r>
      <w:r w:rsidRPr="000050B8">
        <w:rPr>
          <w:szCs w:val="22"/>
          <w:lang w:val="en-GB"/>
        </w:rPr>
        <w:t xml:space="preserve">. An evolutionary integrated view of regional systems of innovation. Concepts, measures and historical perspectives. </w:t>
      </w:r>
      <w:r w:rsidRPr="000050B8">
        <w:rPr>
          <w:i/>
          <w:szCs w:val="22"/>
          <w:lang w:val="en-GB"/>
        </w:rPr>
        <w:t>European Planning Studies</w:t>
      </w:r>
      <w:r w:rsidRPr="000050B8">
        <w:rPr>
          <w:szCs w:val="22"/>
          <w:lang w:val="en-GB"/>
        </w:rPr>
        <w:t xml:space="preserve">, </w:t>
      </w:r>
      <w:r w:rsidRPr="00EB63F1">
        <w:rPr>
          <w:i/>
          <w:szCs w:val="22"/>
          <w:lang w:val="en-GB"/>
        </w:rPr>
        <w:t>13</w:t>
      </w:r>
      <w:r w:rsidRPr="000050B8">
        <w:rPr>
          <w:szCs w:val="22"/>
          <w:lang w:val="en-GB"/>
        </w:rPr>
        <w:t>(4</w:t>
      </w:r>
      <w:r w:rsidR="00A33EEC" w:rsidRPr="000050B8">
        <w:rPr>
          <w:szCs w:val="22"/>
          <w:lang w:val="en-GB"/>
        </w:rPr>
        <w:t>)</w:t>
      </w:r>
      <w:r w:rsidR="00A33EEC">
        <w:rPr>
          <w:szCs w:val="22"/>
          <w:lang w:val="en-GB"/>
        </w:rPr>
        <w:t>,</w:t>
      </w:r>
      <w:r w:rsidR="00A33EEC" w:rsidRPr="000050B8">
        <w:rPr>
          <w:szCs w:val="22"/>
          <w:lang w:val="en-GB"/>
        </w:rPr>
        <w:t xml:space="preserve"> </w:t>
      </w:r>
      <w:r w:rsidRPr="000050B8">
        <w:rPr>
          <w:szCs w:val="22"/>
          <w:lang w:val="en-GB"/>
        </w:rPr>
        <w:t>495–517.</w:t>
      </w:r>
    </w:p>
    <w:p w14:paraId="713B90B4" w14:textId="611B17DC" w:rsidR="00724B81" w:rsidRPr="000050B8" w:rsidRDefault="00724B81" w:rsidP="00C43B94">
      <w:pPr>
        <w:spacing w:line="480" w:lineRule="auto"/>
        <w:rPr>
          <w:lang w:val="en-GB"/>
        </w:rPr>
      </w:pPr>
      <w:r w:rsidRPr="005E6822">
        <w:rPr>
          <w:lang w:val="en-GB"/>
        </w:rPr>
        <w:t>Jakobsen, S.E.,</w:t>
      </w:r>
      <w:r w:rsidR="007D6D17" w:rsidRPr="005E6822">
        <w:rPr>
          <w:lang w:val="en-GB"/>
        </w:rPr>
        <w:t xml:space="preserve"> &amp;</w:t>
      </w:r>
      <w:r w:rsidRPr="005E6822">
        <w:rPr>
          <w:lang w:val="en-GB"/>
        </w:rPr>
        <w:t xml:space="preserve"> Lorentzen, T. </w:t>
      </w:r>
      <w:r w:rsidR="00CC6A5F" w:rsidRPr="005E6822">
        <w:rPr>
          <w:lang w:val="en-GB"/>
        </w:rPr>
        <w:t>(</w:t>
      </w:r>
      <w:r w:rsidRPr="005E6822">
        <w:rPr>
          <w:lang w:val="en-GB"/>
        </w:rPr>
        <w:t>2015</w:t>
      </w:r>
      <w:r w:rsidR="00CC6A5F" w:rsidRPr="005E6822">
        <w:rPr>
          <w:lang w:val="en-GB"/>
        </w:rPr>
        <w:t>)</w:t>
      </w:r>
      <w:r w:rsidRPr="005E6822">
        <w:rPr>
          <w:lang w:val="en-GB"/>
        </w:rPr>
        <w:t xml:space="preserve">. </w:t>
      </w:r>
      <w:r w:rsidRPr="000050B8">
        <w:rPr>
          <w:lang w:val="en-GB"/>
        </w:rPr>
        <w:t xml:space="preserve">Between bonding and bridging: Regional differences in innovative collaboration in Norway. </w:t>
      </w:r>
      <w:r w:rsidRPr="000050B8">
        <w:rPr>
          <w:i/>
          <w:lang w:val="en-GB"/>
        </w:rPr>
        <w:t>Norwegian Journal of Geography</w:t>
      </w:r>
      <w:r w:rsidR="00790751">
        <w:rPr>
          <w:lang w:val="en-GB"/>
        </w:rPr>
        <w:t>,</w:t>
      </w:r>
      <w:r w:rsidRPr="000050B8">
        <w:rPr>
          <w:lang w:val="en-GB"/>
        </w:rPr>
        <w:t xml:space="preserve"> </w:t>
      </w:r>
      <w:r w:rsidRPr="00EB63F1">
        <w:rPr>
          <w:i/>
          <w:lang w:val="en-GB"/>
        </w:rPr>
        <w:t>69</w:t>
      </w:r>
      <w:r w:rsidRPr="000050B8">
        <w:rPr>
          <w:lang w:val="en-GB"/>
        </w:rPr>
        <w:t>(2</w:t>
      </w:r>
      <w:r w:rsidR="00A33EEC" w:rsidRPr="000050B8">
        <w:rPr>
          <w:lang w:val="en-GB"/>
        </w:rPr>
        <w:t>)</w:t>
      </w:r>
      <w:r w:rsidR="00A33EEC">
        <w:rPr>
          <w:lang w:val="en-GB"/>
        </w:rPr>
        <w:t>,</w:t>
      </w:r>
      <w:r w:rsidR="00A33EEC" w:rsidRPr="000050B8">
        <w:rPr>
          <w:lang w:val="en-GB"/>
        </w:rPr>
        <w:t xml:space="preserve"> </w:t>
      </w:r>
      <w:r w:rsidRPr="000050B8">
        <w:rPr>
          <w:lang w:val="en-GB"/>
        </w:rPr>
        <w:t>80</w:t>
      </w:r>
      <w:r w:rsidR="00CA67D4" w:rsidRPr="000050B8">
        <w:rPr>
          <w:rFonts w:eastAsia="TimesTenLTStd-Roman"/>
          <w:szCs w:val="22"/>
          <w:lang w:val="en-GB"/>
        </w:rPr>
        <w:t>–</w:t>
      </w:r>
      <w:r w:rsidRPr="000050B8">
        <w:rPr>
          <w:lang w:val="en-GB"/>
        </w:rPr>
        <w:t>89.</w:t>
      </w:r>
    </w:p>
    <w:p w14:paraId="4662CD5B" w14:textId="676F4496" w:rsidR="007461C9" w:rsidRPr="000050B8" w:rsidRDefault="007461C9" w:rsidP="00C43B94">
      <w:pPr>
        <w:spacing w:line="480" w:lineRule="auto"/>
        <w:rPr>
          <w:lang w:val="en-GB"/>
        </w:rPr>
      </w:pPr>
      <w:r w:rsidRPr="000050B8">
        <w:rPr>
          <w:lang w:val="en-GB"/>
        </w:rPr>
        <w:t>Lee, N.,</w:t>
      </w:r>
      <w:r w:rsidR="007D6D17">
        <w:rPr>
          <w:lang w:val="en-GB"/>
        </w:rPr>
        <w:t xml:space="preserve"> &amp;</w:t>
      </w:r>
      <w:r w:rsidRPr="000050B8">
        <w:rPr>
          <w:lang w:val="en-GB"/>
        </w:rPr>
        <w:t xml:space="preserve"> Rodríguez-Pose A. </w:t>
      </w:r>
      <w:r w:rsidR="00CC6A5F">
        <w:rPr>
          <w:lang w:val="en-GB"/>
        </w:rPr>
        <w:t>(</w:t>
      </w:r>
      <w:r w:rsidRPr="000050B8">
        <w:rPr>
          <w:lang w:val="en-GB"/>
        </w:rPr>
        <w:t>2013</w:t>
      </w:r>
      <w:r w:rsidR="00CC6A5F">
        <w:rPr>
          <w:lang w:val="en-GB"/>
        </w:rPr>
        <w:t>)</w:t>
      </w:r>
      <w:r w:rsidRPr="000050B8">
        <w:rPr>
          <w:lang w:val="en-GB"/>
        </w:rPr>
        <w:t xml:space="preserve">. Original innovation, learnt innovation and cities: Evidence from UK SMEs. </w:t>
      </w:r>
      <w:r w:rsidRPr="00E63EA5">
        <w:rPr>
          <w:i/>
          <w:lang w:val="en-GB"/>
        </w:rPr>
        <w:t>Urban Studies</w:t>
      </w:r>
      <w:r w:rsidR="00790751">
        <w:rPr>
          <w:lang w:val="en-GB"/>
        </w:rPr>
        <w:t>,</w:t>
      </w:r>
      <w:r w:rsidRPr="000050B8">
        <w:rPr>
          <w:lang w:val="en-GB"/>
        </w:rPr>
        <w:t xml:space="preserve"> </w:t>
      </w:r>
      <w:r w:rsidRPr="00EB63F1">
        <w:rPr>
          <w:i/>
          <w:lang w:val="en-GB"/>
        </w:rPr>
        <w:t>50</w:t>
      </w:r>
      <w:r w:rsidRPr="000050B8">
        <w:rPr>
          <w:lang w:val="en-GB"/>
        </w:rPr>
        <w:t>(9</w:t>
      </w:r>
      <w:r w:rsidR="00A33EEC" w:rsidRPr="000050B8">
        <w:rPr>
          <w:lang w:val="en-GB"/>
        </w:rPr>
        <w:t>)</w:t>
      </w:r>
      <w:r w:rsidR="00A33EEC">
        <w:rPr>
          <w:lang w:val="en-GB"/>
        </w:rPr>
        <w:t>,</w:t>
      </w:r>
      <w:r w:rsidR="00A33EEC" w:rsidRPr="000050B8">
        <w:rPr>
          <w:lang w:val="en-GB"/>
        </w:rPr>
        <w:t xml:space="preserve"> </w:t>
      </w:r>
      <w:r w:rsidRPr="000050B8">
        <w:rPr>
          <w:lang w:val="en-GB"/>
        </w:rPr>
        <w:t>1742–1759.</w:t>
      </w:r>
    </w:p>
    <w:p w14:paraId="00A93D95" w14:textId="501F3236" w:rsidR="00557574" w:rsidRDefault="00557574" w:rsidP="00C43B94">
      <w:pPr>
        <w:spacing w:line="480" w:lineRule="auto"/>
        <w:rPr>
          <w:lang w:val="en-GB"/>
        </w:rPr>
      </w:pPr>
      <w:r>
        <w:rPr>
          <w:lang w:val="en-GB"/>
        </w:rPr>
        <w:t>Mayer, H.,</w:t>
      </w:r>
      <w:r w:rsidR="007D6D17">
        <w:rPr>
          <w:lang w:val="en-GB"/>
        </w:rPr>
        <w:t xml:space="preserve"> &amp;</w:t>
      </w:r>
      <w:r>
        <w:rPr>
          <w:lang w:val="en-GB"/>
        </w:rPr>
        <w:t xml:space="preserve"> Baumgartner, D. </w:t>
      </w:r>
      <w:r w:rsidR="00CC6A5F">
        <w:rPr>
          <w:lang w:val="en-GB"/>
        </w:rPr>
        <w:t>(</w:t>
      </w:r>
      <w:r>
        <w:rPr>
          <w:lang w:val="en-GB"/>
        </w:rPr>
        <w:t>2014</w:t>
      </w:r>
      <w:r w:rsidR="00CC6A5F">
        <w:rPr>
          <w:lang w:val="en-GB"/>
        </w:rPr>
        <w:t>)</w:t>
      </w:r>
      <w:r>
        <w:rPr>
          <w:lang w:val="en-GB"/>
        </w:rPr>
        <w:t xml:space="preserve">. The role of entrepreneurship and innovation in peripheral regions. </w:t>
      </w:r>
      <w:proofErr w:type="spellStart"/>
      <w:r>
        <w:rPr>
          <w:i/>
          <w:lang w:val="en-GB"/>
        </w:rPr>
        <w:t>disP</w:t>
      </w:r>
      <w:proofErr w:type="spellEnd"/>
      <w:r>
        <w:rPr>
          <w:i/>
          <w:lang w:val="en-GB"/>
        </w:rPr>
        <w:t xml:space="preserve"> – The Planning Review</w:t>
      </w:r>
      <w:r w:rsidR="00790751">
        <w:rPr>
          <w:lang w:val="en-GB"/>
        </w:rPr>
        <w:t>,</w:t>
      </w:r>
      <w:r>
        <w:rPr>
          <w:lang w:val="en-GB"/>
        </w:rPr>
        <w:t xml:space="preserve"> </w:t>
      </w:r>
      <w:r w:rsidRPr="00EB63F1">
        <w:rPr>
          <w:i/>
          <w:lang w:val="en-GB"/>
        </w:rPr>
        <w:t>50</w:t>
      </w:r>
      <w:r>
        <w:rPr>
          <w:lang w:val="en-GB"/>
        </w:rPr>
        <w:t>(1</w:t>
      </w:r>
      <w:r w:rsidR="00A33EEC">
        <w:rPr>
          <w:lang w:val="en-GB"/>
        </w:rPr>
        <w:t xml:space="preserve">), </w:t>
      </w:r>
      <w:r>
        <w:rPr>
          <w:lang w:val="en-GB"/>
        </w:rPr>
        <w:t>16</w:t>
      </w:r>
      <w:r w:rsidR="00CA67D4" w:rsidRPr="000050B8">
        <w:rPr>
          <w:rFonts w:eastAsia="TimesTenLTStd-Roman"/>
          <w:szCs w:val="22"/>
          <w:lang w:val="en-GB"/>
        </w:rPr>
        <w:t>–</w:t>
      </w:r>
      <w:r>
        <w:rPr>
          <w:lang w:val="en-GB"/>
        </w:rPr>
        <w:t>23.</w:t>
      </w:r>
    </w:p>
    <w:p w14:paraId="45D877DC" w14:textId="57D613E3" w:rsidR="00557574" w:rsidRPr="00557574" w:rsidRDefault="00557574" w:rsidP="00C43B94">
      <w:pPr>
        <w:spacing w:line="480" w:lineRule="auto"/>
        <w:rPr>
          <w:lang w:val="en-GB"/>
        </w:rPr>
      </w:pPr>
      <w:r w:rsidRPr="00771B60">
        <w:t xml:space="preserve">Mayer, H., Habersetzer, A., </w:t>
      </w:r>
      <w:r w:rsidR="007D6D17">
        <w:t xml:space="preserve">&amp; </w:t>
      </w:r>
      <w:r w:rsidRPr="00771B60">
        <w:t xml:space="preserve">Meili, R. </w:t>
      </w:r>
      <w:r w:rsidR="00CC6A5F">
        <w:t>(</w:t>
      </w:r>
      <w:r>
        <w:t>2016</w:t>
      </w:r>
      <w:r w:rsidR="00CC6A5F">
        <w:t>)</w:t>
      </w:r>
      <w:r>
        <w:t xml:space="preserve">. </w:t>
      </w:r>
      <w:r w:rsidRPr="00771B60">
        <w:rPr>
          <w:lang w:val="en-GB"/>
        </w:rPr>
        <w:t xml:space="preserve">Rural-urban linkages and sustainable regional development: The role of entrepreneurs in linking peripheries and </w:t>
      </w:r>
      <w:proofErr w:type="spellStart"/>
      <w:r w:rsidRPr="00771B60">
        <w:rPr>
          <w:lang w:val="en-GB"/>
        </w:rPr>
        <w:t>centers</w:t>
      </w:r>
      <w:proofErr w:type="spellEnd"/>
      <w:r w:rsidRPr="00771B60">
        <w:rPr>
          <w:lang w:val="en-GB"/>
        </w:rPr>
        <w:t xml:space="preserve">. </w:t>
      </w:r>
      <w:r>
        <w:rPr>
          <w:i/>
          <w:lang w:val="en-GB"/>
        </w:rPr>
        <w:t>Sustainability</w:t>
      </w:r>
      <w:r w:rsidR="00790751">
        <w:rPr>
          <w:lang w:val="en-GB"/>
        </w:rPr>
        <w:t>,</w:t>
      </w:r>
      <w:r>
        <w:rPr>
          <w:lang w:val="en-GB"/>
        </w:rPr>
        <w:t xml:space="preserve"> </w:t>
      </w:r>
      <w:r w:rsidRPr="00EB63F1">
        <w:rPr>
          <w:i/>
          <w:lang w:val="en-GB"/>
        </w:rPr>
        <w:t>8</w:t>
      </w:r>
      <w:r>
        <w:rPr>
          <w:lang w:val="en-GB"/>
        </w:rPr>
        <w:t>(8</w:t>
      </w:r>
      <w:r w:rsidR="00A33EEC">
        <w:rPr>
          <w:lang w:val="en-GB"/>
        </w:rPr>
        <w:t xml:space="preserve">), </w:t>
      </w:r>
      <w:r>
        <w:rPr>
          <w:lang w:val="en-GB"/>
        </w:rPr>
        <w:t>745.</w:t>
      </w:r>
    </w:p>
    <w:p w14:paraId="2DFA7A79" w14:textId="22B8B5C8" w:rsidR="00342DF9" w:rsidRPr="000050B8" w:rsidRDefault="00342DF9" w:rsidP="00C43B94">
      <w:pPr>
        <w:spacing w:line="480" w:lineRule="auto"/>
        <w:rPr>
          <w:lang w:val="en-GB"/>
        </w:rPr>
      </w:pPr>
      <w:r w:rsidRPr="000050B8">
        <w:rPr>
          <w:lang w:val="en-GB"/>
        </w:rPr>
        <w:t xml:space="preserve">McCann P. </w:t>
      </w:r>
      <w:r w:rsidR="00CC6A5F">
        <w:rPr>
          <w:lang w:val="en-GB"/>
        </w:rPr>
        <w:t>(</w:t>
      </w:r>
      <w:r w:rsidRPr="000050B8">
        <w:rPr>
          <w:lang w:val="en-GB"/>
        </w:rPr>
        <w:t>2007</w:t>
      </w:r>
      <w:r w:rsidR="00CC6A5F">
        <w:rPr>
          <w:lang w:val="en-GB"/>
        </w:rPr>
        <w:t>)</w:t>
      </w:r>
      <w:r w:rsidRPr="000050B8">
        <w:rPr>
          <w:lang w:val="en-GB"/>
        </w:rPr>
        <w:t xml:space="preserve">. Sketching out a model of innovation, Face-to-face interaction and economic geography. </w:t>
      </w:r>
      <w:r w:rsidRPr="00E63EA5">
        <w:rPr>
          <w:i/>
          <w:lang w:val="en-GB"/>
        </w:rPr>
        <w:t>Spatial Economic Analysis</w:t>
      </w:r>
      <w:r w:rsidR="00790751">
        <w:rPr>
          <w:lang w:val="en-GB"/>
        </w:rPr>
        <w:t>,</w:t>
      </w:r>
      <w:r w:rsidRPr="000050B8">
        <w:rPr>
          <w:lang w:val="en-GB"/>
        </w:rPr>
        <w:t xml:space="preserve"> </w:t>
      </w:r>
      <w:r w:rsidRPr="00EB63F1">
        <w:rPr>
          <w:i/>
          <w:lang w:val="en-GB"/>
        </w:rPr>
        <w:t>2</w:t>
      </w:r>
      <w:r w:rsidRPr="000050B8">
        <w:rPr>
          <w:lang w:val="en-GB"/>
        </w:rPr>
        <w:t>(2</w:t>
      </w:r>
      <w:r w:rsidR="00A33EEC" w:rsidRPr="000050B8">
        <w:rPr>
          <w:lang w:val="en-GB"/>
        </w:rPr>
        <w:t>)</w:t>
      </w:r>
      <w:r w:rsidR="00A33EEC">
        <w:rPr>
          <w:lang w:val="en-GB"/>
        </w:rPr>
        <w:t>,</w:t>
      </w:r>
      <w:r w:rsidR="00A33EEC" w:rsidRPr="000050B8">
        <w:rPr>
          <w:lang w:val="en-GB"/>
        </w:rPr>
        <w:t xml:space="preserve"> </w:t>
      </w:r>
      <w:r w:rsidRPr="000050B8">
        <w:rPr>
          <w:lang w:val="en-GB"/>
        </w:rPr>
        <w:t>117</w:t>
      </w:r>
      <w:r w:rsidR="00CA67D4" w:rsidRPr="000050B8">
        <w:rPr>
          <w:rFonts w:eastAsia="TimesTenLTStd-Roman"/>
          <w:szCs w:val="22"/>
          <w:lang w:val="en-GB"/>
        </w:rPr>
        <w:t>–</w:t>
      </w:r>
      <w:r w:rsidRPr="000050B8">
        <w:rPr>
          <w:lang w:val="en-GB"/>
        </w:rPr>
        <w:t>134.</w:t>
      </w:r>
    </w:p>
    <w:p w14:paraId="5303E46C" w14:textId="7ED7D3F2" w:rsidR="00A139C5" w:rsidRPr="000050B8" w:rsidRDefault="00BF77C7" w:rsidP="00C43B94">
      <w:pPr>
        <w:spacing w:line="480" w:lineRule="auto"/>
        <w:rPr>
          <w:sz w:val="32"/>
          <w:lang w:val="en-GB"/>
        </w:rPr>
      </w:pPr>
      <w:r w:rsidRPr="000050B8">
        <w:rPr>
          <w:color w:val="222222"/>
          <w:shd w:val="clear" w:color="auto" w:fill="FFFFFF"/>
          <w:lang w:val="en-GB"/>
        </w:rPr>
        <w:t xml:space="preserve">McCann, P. </w:t>
      </w:r>
      <w:r w:rsidR="00CC6A5F">
        <w:rPr>
          <w:color w:val="222222"/>
          <w:shd w:val="clear" w:color="auto" w:fill="FFFFFF"/>
          <w:lang w:val="en-GB"/>
        </w:rPr>
        <w:t>(</w:t>
      </w:r>
      <w:r w:rsidRPr="000050B8">
        <w:rPr>
          <w:color w:val="222222"/>
          <w:shd w:val="clear" w:color="auto" w:fill="FFFFFF"/>
          <w:lang w:val="en-GB"/>
        </w:rPr>
        <w:t>2008</w:t>
      </w:r>
      <w:r w:rsidR="00CC6A5F">
        <w:rPr>
          <w:color w:val="222222"/>
          <w:shd w:val="clear" w:color="auto" w:fill="FFFFFF"/>
          <w:lang w:val="en-GB"/>
        </w:rPr>
        <w:t>)</w:t>
      </w:r>
      <w:r w:rsidRPr="000050B8">
        <w:rPr>
          <w:color w:val="222222"/>
          <w:shd w:val="clear" w:color="auto" w:fill="FFFFFF"/>
          <w:lang w:val="en-GB"/>
        </w:rPr>
        <w:t>. Globalization and economic geography: the world is curved, not flat.</w:t>
      </w:r>
      <w:r w:rsidRPr="000050B8">
        <w:rPr>
          <w:rStyle w:val="apple-converted-space"/>
          <w:color w:val="222222"/>
          <w:shd w:val="clear" w:color="auto" w:fill="FFFFFF"/>
          <w:lang w:val="en-GB"/>
        </w:rPr>
        <w:t> </w:t>
      </w:r>
      <w:r w:rsidRPr="000050B8">
        <w:rPr>
          <w:i/>
          <w:iCs/>
          <w:color w:val="222222"/>
          <w:shd w:val="clear" w:color="auto" w:fill="FFFFFF"/>
          <w:lang w:val="en-GB"/>
        </w:rPr>
        <w:t>Cambridge Journal of Regions, Economy and Society</w:t>
      </w:r>
      <w:r w:rsidR="00790751">
        <w:rPr>
          <w:lang w:val="en-GB"/>
        </w:rPr>
        <w:t>,</w:t>
      </w:r>
      <w:r w:rsidRPr="000050B8">
        <w:rPr>
          <w:rStyle w:val="apple-converted-space"/>
          <w:color w:val="222222"/>
          <w:shd w:val="clear" w:color="auto" w:fill="FFFFFF"/>
          <w:lang w:val="en-GB"/>
        </w:rPr>
        <w:t> </w:t>
      </w:r>
      <w:r w:rsidRPr="00EB63F1">
        <w:rPr>
          <w:i/>
          <w:iCs/>
          <w:color w:val="222222"/>
          <w:shd w:val="clear" w:color="auto" w:fill="FFFFFF"/>
          <w:lang w:val="en-GB"/>
        </w:rPr>
        <w:t>1</w:t>
      </w:r>
      <w:r w:rsidRPr="000050B8">
        <w:rPr>
          <w:color w:val="222222"/>
          <w:shd w:val="clear" w:color="auto" w:fill="FFFFFF"/>
          <w:lang w:val="en-GB"/>
        </w:rPr>
        <w:t>(3</w:t>
      </w:r>
      <w:r w:rsidR="00A33EEC" w:rsidRPr="000050B8">
        <w:rPr>
          <w:color w:val="222222"/>
          <w:shd w:val="clear" w:color="auto" w:fill="FFFFFF"/>
          <w:lang w:val="en-GB"/>
        </w:rPr>
        <w:t>)</w:t>
      </w:r>
      <w:r w:rsidR="00A33EEC">
        <w:rPr>
          <w:color w:val="222222"/>
          <w:shd w:val="clear" w:color="auto" w:fill="FFFFFF"/>
          <w:lang w:val="en-GB"/>
        </w:rPr>
        <w:t>,</w:t>
      </w:r>
      <w:r w:rsidR="00A33EEC" w:rsidRPr="000050B8">
        <w:rPr>
          <w:color w:val="222222"/>
          <w:shd w:val="clear" w:color="auto" w:fill="FFFFFF"/>
          <w:lang w:val="en-GB"/>
        </w:rPr>
        <w:t xml:space="preserve"> </w:t>
      </w:r>
      <w:r w:rsidRPr="000050B8">
        <w:rPr>
          <w:color w:val="222222"/>
          <w:shd w:val="clear" w:color="auto" w:fill="FFFFFF"/>
          <w:lang w:val="en-GB"/>
        </w:rPr>
        <w:t>351</w:t>
      </w:r>
      <w:r w:rsidR="00CA67D4" w:rsidRPr="000050B8">
        <w:rPr>
          <w:rFonts w:eastAsia="TimesTenLTStd-Roman"/>
          <w:szCs w:val="22"/>
          <w:lang w:val="en-GB"/>
        </w:rPr>
        <w:t>–</w:t>
      </w:r>
      <w:r w:rsidRPr="000050B8">
        <w:rPr>
          <w:color w:val="222222"/>
          <w:shd w:val="clear" w:color="auto" w:fill="FFFFFF"/>
          <w:lang w:val="en-GB"/>
        </w:rPr>
        <w:t>370.</w:t>
      </w:r>
    </w:p>
    <w:p w14:paraId="4DFCCF93" w14:textId="26A3F726" w:rsidR="00FC6B3E" w:rsidRPr="00FC6B3E" w:rsidRDefault="00FC6B3E" w:rsidP="00C43B94">
      <w:pPr>
        <w:spacing w:line="480" w:lineRule="auto"/>
        <w:rPr>
          <w:szCs w:val="22"/>
          <w:lang w:val="en-GB"/>
        </w:rPr>
      </w:pPr>
      <w:proofErr w:type="spellStart"/>
      <w:r>
        <w:rPr>
          <w:szCs w:val="22"/>
          <w:lang w:val="en-GB"/>
        </w:rPr>
        <w:lastRenderedPageBreak/>
        <w:t>Meili</w:t>
      </w:r>
      <w:proofErr w:type="spellEnd"/>
      <w:r>
        <w:rPr>
          <w:szCs w:val="22"/>
          <w:lang w:val="en-GB"/>
        </w:rPr>
        <w:t xml:space="preserve">, R. </w:t>
      </w:r>
      <w:r w:rsidR="00CC6A5F">
        <w:rPr>
          <w:szCs w:val="22"/>
          <w:lang w:val="en-GB"/>
        </w:rPr>
        <w:t>(</w:t>
      </w:r>
      <w:r>
        <w:rPr>
          <w:szCs w:val="22"/>
          <w:lang w:val="en-GB"/>
        </w:rPr>
        <w:t>2018</w:t>
      </w:r>
      <w:r w:rsidR="00CC6A5F">
        <w:rPr>
          <w:szCs w:val="22"/>
          <w:lang w:val="en-GB"/>
        </w:rPr>
        <w:t>)</w:t>
      </w:r>
      <w:r>
        <w:rPr>
          <w:szCs w:val="22"/>
          <w:lang w:val="en-GB"/>
        </w:rPr>
        <w:t xml:space="preserve">. </w:t>
      </w:r>
      <w:r>
        <w:rPr>
          <w:i/>
          <w:szCs w:val="22"/>
          <w:lang w:val="en-GB"/>
        </w:rPr>
        <w:t>The Charms of Smallness: Economic Dynamics and Innovation Mechanisms in Small and Medium-sized Towns</w:t>
      </w:r>
      <w:r>
        <w:rPr>
          <w:szCs w:val="22"/>
          <w:lang w:val="en-GB"/>
        </w:rPr>
        <w:t xml:space="preserve"> </w:t>
      </w:r>
      <w:r w:rsidR="00AC6BA5">
        <w:rPr>
          <w:szCs w:val="22"/>
          <w:lang w:val="en-GB"/>
        </w:rPr>
        <w:t>(Doctoral dissertation). Retrieved from the Institute of Geography</w:t>
      </w:r>
      <w:r>
        <w:rPr>
          <w:szCs w:val="22"/>
          <w:lang w:val="en-GB"/>
        </w:rPr>
        <w:t>, University of Bern.</w:t>
      </w:r>
    </w:p>
    <w:p w14:paraId="2F61141C" w14:textId="7B4D2FA3" w:rsidR="000C2CE7" w:rsidRPr="000050B8" w:rsidRDefault="000C2CE7" w:rsidP="00C43B94">
      <w:pPr>
        <w:spacing w:line="480" w:lineRule="auto"/>
        <w:rPr>
          <w:szCs w:val="22"/>
          <w:lang w:val="en-GB"/>
        </w:rPr>
      </w:pPr>
      <w:r w:rsidRPr="000050B8">
        <w:rPr>
          <w:szCs w:val="22"/>
          <w:lang w:val="en-GB"/>
        </w:rPr>
        <w:t>OECD</w:t>
      </w:r>
      <w:r w:rsidR="004D7823" w:rsidRPr="000050B8">
        <w:rPr>
          <w:szCs w:val="22"/>
          <w:lang w:val="en-GB"/>
        </w:rPr>
        <w:t xml:space="preserve"> </w:t>
      </w:r>
      <w:r w:rsidR="007D6D17">
        <w:rPr>
          <w:szCs w:val="22"/>
          <w:lang w:val="en-GB"/>
        </w:rPr>
        <w:t>&amp;</w:t>
      </w:r>
      <w:r w:rsidR="007D6D17" w:rsidRPr="000050B8">
        <w:rPr>
          <w:szCs w:val="22"/>
          <w:lang w:val="en-GB"/>
        </w:rPr>
        <w:t xml:space="preserve"> </w:t>
      </w:r>
      <w:r w:rsidR="004D7823" w:rsidRPr="000050B8">
        <w:rPr>
          <w:szCs w:val="22"/>
          <w:lang w:val="en-GB"/>
        </w:rPr>
        <w:t>Eurostat</w:t>
      </w:r>
      <w:r w:rsidRPr="000050B8">
        <w:rPr>
          <w:szCs w:val="22"/>
          <w:lang w:val="en-GB"/>
        </w:rPr>
        <w:t xml:space="preserve"> </w:t>
      </w:r>
      <w:r w:rsidR="00CC6A5F">
        <w:rPr>
          <w:szCs w:val="22"/>
          <w:lang w:val="en-GB"/>
        </w:rPr>
        <w:t>(</w:t>
      </w:r>
      <w:r w:rsidRPr="000050B8">
        <w:rPr>
          <w:szCs w:val="22"/>
          <w:lang w:val="en-GB"/>
        </w:rPr>
        <w:t>2005</w:t>
      </w:r>
      <w:r w:rsidR="00CC6A5F">
        <w:rPr>
          <w:szCs w:val="22"/>
          <w:lang w:val="en-GB"/>
        </w:rPr>
        <w:t>)</w:t>
      </w:r>
      <w:r w:rsidRPr="000050B8">
        <w:rPr>
          <w:szCs w:val="22"/>
          <w:lang w:val="en-GB"/>
        </w:rPr>
        <w:t xml:space="preserve">. </w:t>
      </w:r>
      <w:r w:rsidRPr="000050B8">
        <w:rPr>
          <w:i/>
          <w:szCs w:val="22"/>
          <w:lang w:val="en-GB"/>
        </w:rPr>
        <w:t>Oslo Manual: Guidelines for Collecting and Interpreting Innovation Data.</w:t>
      </w:r>
      <w:r w:rsidRPr="000050B8">
        <w:rPr>
          <w:szCs w:val="22"/>
          <w:lang w:val="en-GB"/>
        </w:rPr>
        <w:t xml:space="preserve"> Third edition. Paris: OECD and the European Commission.</w:t>
      </w:r>
    </w:p>
    <w:p w14:paraId="65F03A8B" w14:textId="6252D910" w:rsidR="00A139C5" w:rsidRPr="000050B8" w:rsidRDefault="00A139C5" w:rsidP="00C43B94">
      <w:pPr>
        <w:spacing w:line="480" w:lineRule="auto"/>
        <w:rPr>
          <w:lang w:val="en-GB"/>
        </w:rPr>
      </w:pPr>
      <w:r w:rsidRPr="000050B8">
        <w:rPr>
          <w:szCs w:val="22"/>
          <w:lang w:val="en-GB"/>
        </w:rPr>
        <w:t xml:space="preserve">Puga, D. </w:t>
      </w:r>
      <w:r w:rsidR="00CC6A5F">
        <w:rPr>
          <w:szCs w:val="22"/>
          <w:lang w:val="en-GB"/>
        </w:rPr>
        <w:t>(</w:t>
      </w:r>
      <w:r w:rsidRPr="000050B8">
        <w:rPr>
          <w:szCs w:val="22"/>
          <w:lang w:val="en-GB"/>
        </w:rPr>
        <w:t>2010</w:t>
      </w:r>
      <w:r w:rsidR="00CC6A5F">
        <w:rPr>
          <w:szCs w:val="22"/>
          <w:lang w:val="en-GB"/>
        </w:rPr>
        <w:t>)</w:t>
      </w:r>
      <w:r w:rsidRPr="000050B8">
        <w:rPr>
          <w:szCs w:val="22"/>
          <w:lang w:val="en-GB"/>
        </w:rPr>
        <w:t xml:space="preserve">. The magnitude and causes of agglomeration economies. </w:t>
      </w:r>
      <w:r w:rsidRPr="000050B8">
        <w:rPr>
          <w:i/>
          <w:szCs w:val="22"/>
          <w:lang w:val="en-GB"/>
        </w:rPr>
        <w:t>Journal of Regional Science</w:t>
      </w:r>
      <w:r w:rsidRPr="000050B8">
        <w:rPr>
          <w:szCs w:val="22"/>
          <w:lang w:val="en-GB"/>
        </w:rPr>
        <w:t xml:space="preserve">, </w:t>
      </w:r>
      <w:r w:rsidRPr="00EB63F1">
        <w:rPr>
          <w:i/>
          <w:szCs w:val="22"/>
          <w:lang w:val="en-GB"/>
        </w:rPr>
        <w:t>50</w:t>
      </w:r>
      <w:r w:rsidR="00A33EEC">
        <w:rPr>
          <w:szCs w:val="22"/>
          <w:lang w:val="en-GB"/>
        </w:rPr>
        <w:t>(</w:t>
      </w:r>
      <w:r w:rsidRPr="000050B8">
        <w:rPr>
          <w:szCs w:val="22"/>
          <w:lang w:val="en-GB"/>
        </w:rPr>
        <w:t>1</w:t>
      </w:r>
      <w:r w:rsidR="00A33EEC">
        <w:rPr>
          <w:szCs w:val="22"/>
          <w:lang w:val="en-GB"/>
        </w:rPr>
        <w:t>)</w:t>
      </w:r>
      <w:r w:rsidRPr="000050B8">
        <w:rPr>
          <w:szCs w:val="22"/>
          <w:lang w:val="en-GB"/>
        </w:rPr>
        <w:t>, 203</w:t>
      </w:r>
      <w:r w:rsidR="00CA67D4" w:rsidRPr="000050B8">
        <w:rPr>
          <w:rFonts w:eastAsia="TimesTenLTStd-Roman"/>
          <w:szCs w:val="22"/>
          <w:lang w:val="en-GB"/>
        </w:rPr>
        <w:t>–</w:t>
      </w:r>
      <w:r w:rsidRPr="000050B8">
        <w:rPr>
          <w:szCs w:val="22"/>
          <w:lang w:val="en-GB"/>
        </w:rPr>
        <w:t>219.</w:t>
      </w:r>
    </w:p>
    <w:p w14:paraId="74E1CE45" w14:textId="7C5B8203" w:rsidR="000538CB" w:rsidRPr="000050B8" w:rsidRDefault="000538CB" w:rsidP="00C43B94">
      <w:pPr>
        <w:spacing w:line="480" w:lineRule="auto"/>
        <w:rPr>
          <w:lang w:val="en-GB"/>
        </w:rPr>
      </w:pPr>
      <w:r w:rsidRPr="005E6822">
        <w:rPr>
          <w:lang w:val="en-GB"/>
        </w:rPr>
        <w:t>Rodríguez-Pose, A.,</w:t>
      </w:r>
      <w:r w:rsidR="007D6D17" w:rsidRPr="005E6822">
        <w:rPr>
          <w:lang w:val="en-GB"/>
        </w:rPr>
        <w:t xml:space="preserve"> &amp;</w:t>
      </w:r>
      <w:r w:rsidRPr="005E6822">
        <w:rPr>
          <w:lang w:val="en-GB"/>
        </w:rPr>
        <w:t xml:space="preserve"> Fitjar, R.D. </w:t>
      </w:r>
      <w:r w:rsidR="00CC6A5F" w:rsidRPr="005E6822">
        <w:rPr>
          <w:lang w:val="en-GB"/>
        </w:rPr>
        <w:t>(</w:t>
      </w:r>
      <w:r w:rsidRPr="005E6822">
        <w:rPr>
          <w:lang w:val="en-GB"/>
        </w:rPr>
        <w:t>2013</w:t>
      </w:r>
      <w:r w:rsidR="00CC6A5F" w:rsidRPr="005E6822">
        <w:rPr>
          <w:lang w:val="en-GB"/>
        </w:rPr>
        <w:t>)</w:t>
      </w:r>
      <w:r w:rsidRPr="005E6822">
        <w:rPr>
          <w:lang w:val="en-GB"/>
        </w:rPr>
        <w:t xml:space="preserve">. </w:t>
      </w:r>
      <w:r w:rsidRPr="000050B8">
        <w:rPr>
          <w:lang w:val="en-GB"/>
        </w:rPr>
        <w:t xml:space="preserve">Buzz, archipelago economies and the future of intermediate and peripheral areas in a spiky world. </w:t>
      </w:r>
      <w:r w:rsidRPr="000050B8">
        <w:rPr>
          <w:i/>
          <w:lang w:val="en-GB"/>
        </w:rPr>
        <w:t>European Planning Studies</w:t>
      </w:r>
      <w:r w:rsidR="00790751">
        <w:rPr>
          <w:lang w:val="en-GB"/>
        </w:rPr>
        <w:t>,</w:t>
      </w:r>
      <w:r w:rsidRPr="000050B8">
        <w:rPr>
          <w:lang w:val="en-GB"/>
        </w:rPr>
        <w:t xml:space="preserve"> </w:t>
      </w:r>
      <w:r w:rsidRPr="00EB63F1">
        <w:rPr>
          <w:i/>
          <w:lang w:val="en-GB"/>
        </w:rPr>
        <w:t>21</w:t>
      </w:r>
      <w:r w:rsidRPr="000050B8">
        <w:rPr>
          <w:lang w:val="en-GB"/>
        </w:rPr>
        <w:t>(3</w:t>
      </w:r>
      <w:r w:rsidR="00A33EEC" w:rsidRPr="000050B8">
        <w:rPr>
          <w:lang w:val="en-GB"/>
        </w:rPr>
        <w:t>)</w:t>
      </w:r>
      <w:r w:rsidR="00A33EEC">
        <w:rPr>
          <w:lang w:val="en-GB"/>
        </w:rPr>
        <w:t>,</w:t>
      </w:r>
      <w:r w:rsidR="00A33EEC" w:rsidRPr="000050B8">
        <w:rPr>
          <w:lang w:val="en-GB"/>
        </w:rPr>
        <w:t xml:space="preserve"> </w:t>
      </w:r>
      <w:r w:rsidRPr="000050B8">
        <w:rPr>
          <w:lang w:val="en-GB"/>
        </w:rPr>
        <w:t>355</w:t>
      </w:r>
      <w:r w:rsidR="00CA67D4" w:rsidRPr="000050B8">
        <w:rPr>
          <w:rFonts w:eastAsia="TimesTenLTStd-Roman"/>
          <w:szCs w:val="22"/>
          <w:lang w:val="en-GB"/>
        </w:rPr>
        <w:t>–</w:t>
      </w:r>
      <w:r w:rsidRPr="000050B8">
        <w:rPr>
          <w:lang w:val="en-GB"/>
        </w:rPr>
        <w:t>372.</w:t>
      </w:r>
    </w:p>
    <w:p w14:paraId="6C744502" w14:textId="1C3C6650" w:rsidR="00730552" w:rsidRPr="000050B8" w:rsidRDefault="00730552" w:rsidP="00C43B94">
      <w:pPr>
        <w:spacing w:line="480" w:lineRule="auto"/>
        <w:rPr>
          <w:lang w:val="en-GB"/>
        </w:rPr>
      </w:pPr>
      <w:r w:rsidRPr="000050B8">
        <w:rPr>
          <w:lang w:val="en-GB"/>
        </w:rPr>
        <w:t>Scott, A.J.,</w:t>
      </w:r>
      <w:r w:rsidR="007D6D17">
        <w:rPr>
          <w:lang w:val="en-GB"/>
        </w:rPr>
        <w:t xml:space="preserve"> &amp;</w:t>
      </w:r>
      <w:r w:rsidRPr="000050B8">
        <w:rPr>
          <w:lang w:val="en-GB"/>
        </w:rPr>
        <w:t xml:space="preserve"> Storper, M. </w:t>
      </w:r>
      <w:r w:rsidR="00CC6A5F">
        <w:rPr>
          <w:lang w:val="en-GB"/>
        </w:rPr>
        <w:t>(</w:t>
      </w:r>
      <w:r w:rsidRPr="000050B8">
        <w:rPr>
          <w:lang w:val="en-GB"/>
        </w:rPr>
        <w:t>2007</w:t>
      </w:r>
      <w:r w:rsidR="00CC6A5F">
        <w:rPr>
          <w:lang w:val="en-GB"/>
        </w:rPr>
        <w:t>)</w:t>
      </w:r>
      <w:r w:rsidRPr="000050B8">
        <w:rPr>
          <w:lang w:val="en-GB"/>
        </w:rPr>
        <w:t xml:space="preserve">. Regions, globalization, development. </w:t>
      </w:r>
      <w:r w:rsidRPr="000050B8">
        <w:rPr>
          <w:i/>
          <w:lang w:val="en-GB"/>
        </w:rPr>
        <w:t>Regional Studies</w:t>
      </w:r>
      <w:r w:rsidR="00790751">
        <w:rPr>
          <w:lang w:val="en-GB"/>
        </w:rPr>
        <w:t>,</w:t>
      </w:r>
      <w:r w:rsidRPr="000050B8">
        <w:rPr>
          <w:lang w:val="en-GB"/>
        </w:rPr>
        <w:t xml:space="preserve"> </w:t>
      </w:r>
      <w:r w:rsidRPr="00EB63F1">
        <w:rPr>
          <w:i/>
          <w:lang w:val="en-GB"/>
        </w:rPr>
        <w:t>41</w:t>
      </w:r>
      <w:r w:rsidRPr="000050B8">
        <w:rPr>
          <w:lang w:val="en-GB"/>
        </w:rPr>
        <w:t>(S1</w:t>
      </w:r>
      <w:r w:rsidR="00A33EEC" w:rsidRPr="000050B8">
        <w:rPr>
          <w:lang w:val="en-GB"/>
        </w:rPr>
        <w:t>)</w:t>
      </w:r>
      <w:r w:rsidR="00A33EEC">
        <w:rPr>
          <w:lang w:val="en-GB"/>
        </w:rPr>
        <w:t>,</w:t>
      </w:r>
      <w:r w:rsidR="00A33EEC" w:rsidRPr="000050B8">
        <w:rPr>
          <w:lang w:val="en-GB"/>
        </w:rPr>
        <w:t xml:space="preserve"> </w:t>
      </w:r>
      <w:r w:rsidRPr="000050B8">
        <w:rPr>
          <w:lang w:val="en-GB"/>
        </w:rPr>
        <w:t>S191</w:t>
      </w:r>
      <w:r w:rsidR="00CA67D4" w:rsidRPr="000050B8">
        <w:rPr>
          <w:rFonts w:eastAsia="TimesTenLTStd-Roman"/>
          <w:szCs w:val="22"/>
          <w:lang w:val="en-GB"/>
        </w:rPr>
        <w:t>–</w:t>
      </w:r>
      <w:r w:rsidRPr="000050B8">
        <w:rPr>
          <w:lang w:val="en-GB"/>
        </w:rPr>
        <w:t>S205.</w:t>
      </w:r>
    </w:p>
    <w:p w14:paraId="146AC0B1" w14:textId="7B499669" w:rsidR="000B5E8D" w:rsidRPr="000050B8" w:rsidRDefault="000B5E8D" w:rsidP="00C43B94">
      <w:pPr>
        <w:spacing w:line="480" w:lineRule="auto"/>
        <w:rPr>
          <w:lang w:val="en-GB"/>
        </w:rPr>
      </w:pPr>
      <w:r w:rsidRPr="000050B8">
        <w:rPr>
          <w:lang w:val="en-GB"/>
        </w:rPr>
        <w:t xml:space="preserve">Shearmur, R. </w:t>
      </w:r>
      <w:r w:rsidR="00CC6A5F">
        <w:rPr>
          <w:lang w:val="en-GB"/>
        </w:rPr>
        <w:t>(</w:t>
      </w:r>
      <w:r w:rsidRPr="000050B8">
        <w:rPr>
          <w:lang w:val="en-GB"/>
        </w:rPr>
        <w:t>2012</w:t>
      </w:r>
      <w:r w:rsidR="00CC6A5F">
        <w:rPr>
          <w:lang w:val="en-GB"/>
        </w:rPr>
        <w:t>)</w:t>
      </w:r>
      <w:r w:rsidRPr="000050B8">
        <w:rPr>
          <w:lang w:val="en-GB"/>
        </w:rPr>
        <w:t xml:space="preserve">. Are cities the font of innovation? A critical review of the literature on cities and innovation. </w:t>
      </w:r>
      <w:r w:rsidRPr="000050B8">
        <w:rPr>
          <w:i/>
          <w:lang w:val="en-GB"/>
        </w:rPr>
        <w:t>Cities</w:t>
      </w:r>
      <w:r w:rsidR="00790751">
        <w:rPr>
          <w:lang w:val="en-GB"/>
        </w:rPr>
        <w:t>,</w:t>
      </w:r>
      <w:r w:rsidRPr="000050B8">
        <w:rPr>
          <w:lang w:val="en-GB"/>
        </w:rPr>
        <w:t xml:space="preserve"> </w:t>
      </w:r>
      <w:r w:rsidRPr="00EB63F1">
        <w:rPr>
          <w:i/>
          <w:lang w:val="en-GB"/>
        </w:rPr>
        <w:t>29</w:t>
      </w:r>
      <w:r w:rsidRPr="000050B8">
        <w:rPr>
          <w:lang w:val="en-GB"/>
        </w:rPr>
        <w:t>(S2</w:t>
      </w:r>
      <w:r w:rsidR="00A33EEC" w:rsidRPr="000050B8">
        <w:rPr>
          <w:lang w:val="en-GB"/>
        </w:rPr>
        <w:t>)</w:t>
      </w:r>
      <w:r w:rsidR="00A33EEC">
        <w:rPr>
          <w:lang w:val="en-GB"/>
        </w:rPr>
        <w:t>,</w:t>
      </w:r>
      <w:r w:rsidR="00A33EEC" w:rsidRPr="000050B8">
        <w:rPr>
          <w:lang w:val="en-GB"/>
        </w:rPr>
        <w:t xml:space="preserve"> </w:t>
      </w:r>
      <w:r w:rsidRPr="000050B8">
        <w:rPr>
          <w:lang w:val="en-GB"/>
        </w:rPr>
        <w:t>S9</w:t>
      </w:r>
      <w:r w:rsidR="00CA67D4" w:rsidRPr="000050B8">
        <w:rPr>
          <w:rFonts w:eastAsia="TimesTenLTStd-Roman"/>
          <w:szCs w:val="22"/>
          <w:lang w:val="en-GB"/>
        </w:rPr>
        <w:t>–</w:t>
      </w:r>
      <w:r w:rsidRPr="000050B8">
        <w:rPr>
          <w:lang w:val="en-GB"/>
        </w:rPr>
        <w:t>S18.</w:t>
      </w:r>
    </w:p>
    <w:p w14:paraId="16350D09" w14:textId="44250C6D" w:rsidR="002B44BA" w:rsidRPr="000050B8" w:rsidRDefault="002B44BA" w:rsidP="00C43B94">
      <w:pPr>
        <w:spacing w:line="480" w:lineRule="auto"/>
        <w:rPr>
          <w:lang w:val="en-GB"/>
        </w:rPr>
      </w:pPr>
      <w:r w:rsidRPr="000050B8">
        <w:rPr>
          <w:lang w:val="en-GB"/>
        </w:rPr>
        <w:t xml:space="preserve">Shearmur, R. </w:t>
      </w:r>
      <w:r w:rsidR="00CC6A5F">
        <w:rPr>
          <w:lang w:val="en-GB"/>
        </w:rPr>
        <w:t>(</w:t>
      </w:r>
      <w:r w:rsidRPr="000050B8">
        <w:rPr>
          <w:lang w:val="en-GB"/>
        </w:rPr>
        <w:t>2015</w:t>
      </w:r>
      <w:r w:rsidR="00CC6A5F">
        <w:rPr>
          <w:lang w:val="en-GB"/>
        </w:rPr>
        <w:t>)</w:t>
      </w:r>
      <w:r w:rsidRPr="000050B8">
        <w:rPr>
          <w:lang w:val="en-GB"/>
        </w:rPr>
        <w:t xml:space="preserve">. Far from the </w:t>
      </w:r>
      <w:r w:rsidR="00D27E2B" w:rsidRPr="000050B8">
        <w:rPr>
          <w:lang w:val="en-GB"/>
        </w:rPr>
        <w:t>m</w:t>
      </w:r>
      <w:r w:rsidRPr="000050B8">
        <w:rPr>
          <w:lang w:val="en-GB"/>
        </w:rPr>
        <w:t xml:space="preserve">adding </w:t>
      </w:r>
      <w:r w:rsidR="00D27E2B" w:rsidRPr="000050B8">
        <w:rPr>
          <w:lang w:val="en-GB"/>
        </w:rPr>
        <w:t>c</w:t>
      </w:r>
      <w:r w:rsidRPr="000050B8">
        <w:rPr>
          <w:lang w:val="en-GB"/>
        </w:rPr>
        <w:t xml:space="preserve">rowd: Slow </w:t>
      </w:r>
      <w:r w:rsidR="00D27E2B" w:rsidRPr="000050B8">
        <w:rPr>
          <w:lang w:val="en-GB"/>
        </w:rPr>
        <w:t>i</w:t>
      </w:r>
      <w:r w:rsidRPr="000050B8">
        <w:rPr>
          <w:lang w:val="en-GB"/>
        </w:rPr>
        <w:t xml:space="preserve">nnovators, </w:t>
      </w:r>
      <w:r w:rsidR="00D27E2B" w:rsidRPr="000050B8">
        <w:rPr>
          <w:lang w:val="en-GB"/>
        </w:rPr>
        <w:t>i</w:t>
      </w:r>
      <w:r w:rsidRPr="000050B8">
        <w:rPr>
          <w:lang w:val="en-GB"/>
        </w:rPr>
        <w:t xml:space="preserve">nformation </w:t>
      </w:r>
      <w:r w:rsidR="00D27E2B" w:rsidRPr="000050B8">
        <w:rPr>
          <w:lang w:val="en-GB"/>
        </w:rPr>
        <w:t>v</w:t>
      </w:r>
      <w:r w:rsidRPr="000050B8">
        <w:rPr>
          <w:lang w:val="en-GB"/>
        </w:rPr>
        <w:t xml:space="preserve">alue, and the </w:t>
      </w:r>
      <w:r w:rsidR="00D27E2B" w:rsidRPr="000050B8">
        <w:rPr>
          <w:lang w:val="en-GB"/>
        </w:rPr>
        <w:t>g</w:t>
      </w:r>
      <w:r w:rsidRPr="000050B8">
        <w:rPr>
          <w:lang w:val="en-GB"/>
        </w:rPr>
        <w:t xml:space="preserve">eography of </w:t>
      </w:r>
      <w:r w:rsidR="00D27E2B" w:rsidRPr="000050B8">
        <w:rPr>
          <w:lang w:val="en-GB"/>
        </w:rPr>
        <w:t>i</w:t>
      </w:r>
      <w:r w:rsidRPr="000050B8">
        <w:rPr>
          <w:lang w:val="en-GB"/>
        </w:rPr>
        <w:t xml:space="preserve">nnovation. </w:t>
      </w:r>
      <w:r w:rsidRPr="00E63EA5">
        <w:rPr>
          <w:i/>
          <w:lang w:val="en-GB"/>
        </w:rPr>
        <w:t xml:space="preserve">Growth </w:t>
      </w:r>
      <w:r w:rsidR="00D63D34">
        <w:rPr>
          <w:i/>
          <w:lang w:val="en-GB"/>
        </w:rPr>
        <w:t xml:space="preserve">&amp; </w:t>
      </w:r>
      <w:r w:rsidRPr="00E63EA5">
        <w:rPr>
          <w:i/>
          <w:lang w:val="en-GB"/>
        </w:rPr>
        <w:t>Change</w:t>
      </w:r>
      <w:r w:rsidR="00790751">
        <w:rPr>
          <w:lang w:val="en-GB"/>
        </w:rPr>
        <w:t>,</w:t>
      </w:r>
      <w:r w:rsidRPr="000050B8">
        <w:rPr>
          <w:lang w:val="en-GB"/>
        </w:rPr>
        <w:t xml:space="preserve"> </w:t>
      </w:r>
      <w:r w:rsidRPr="00EB63F1">
        <w:rPr>
          <w:i/>
          <w:lang w:val="en-GB"/>
        </w:rPr>
        <w:t>46</w:t>
      </w:r>
      <w:r w:rsidR="00D27E2B" w:rsidRPr="000050B8">
        <w:rPr>
          <w:lang w:val="en-GB"/>
        </w:rPr>
        <w:t>(3</w:t>
      </w:r>
      <w:r w:rsidR="00A33EEC" w:rsidRPr="000050B8">
        <w:rPr>
          <w:lang w:val="en-GB"/>
        </w:rPr>
        <w:t>)</w:t>
      </w:r>
      <w:r w:rsidR="00A33EEC">
        <w:rPr>
          <w:lang w:val="en-GB"/>
        </w:rPr>
        <w:t>,</w:t>
      </w:r>
      <w:r w:rsidR="00A33EEC" w:rsidRPr="000050B8">
        <w:rPr>
          <w:lang w:val="en-GB"/>
        </w:rPr>
        <w:t xml:space="preserve"> </w:t>
      </w:r>
      <w:r w:rsidRPr="000050B8">
        <w:rPr>
          <w:lang w:val="en-GB"/>
        </w:rPr>
        <w:t>424–442.</w:t>
      </w:r>
    </w:p>
    <w:p w14:paraId="0B49D221" w14:textId="448135FC" w:rsidR="00E71D1F" w:rsidRPr="00E71D1F" w:rsidRDefault="00E71D1F" w:rsidP="00C43B94">
      <w:pPr>
        <w:spacing w:line="480" w:lineRule="auto"/>
        <w:rPr>
          <w:lang w:val="en-GB"/>
        </w:rPr>
      </w:pPr>
      <w:r>
        <w:rPr>
          <w:lang w:val="en-GB"/>
        </w:rPr>
        <w:t xml:space="preserve">Shearmur, R. </w:t>
      </w:r>
      <w:r w:rsidR="00CC6A5F">
        <w:rPr>
          <w:lang w:val="en-GB"/>
        </w:rPr>
        <w:t>(</w:t>
      </w:r>
      <w:r>
        <w:rPr>
          <w:lang w:val="en-GB"/>
        </w:rPr>
        <w:t>2017</w:t>
      </w:r>
      <w:r w:rsidR="00CC6A5F">
        <w:rPr>
          <w:lang w:val="en-GB"/>
        </w:rPr>
        <w:t>)</w:t>
      </w:r>
      <w:r>
        <w:rPr>
          <w:lang w:val="en-GB"/>
        </w:rPr>
        <w:t xml:space="preserve">. Urban bias in innovation studies. </w:t>
      </w:r>
      <w:r w:rsidR="00AC6BA5">
        <w:rPr>
          <w:lang w:val="en-GB"/>
        </w:rPr>
        <w:t xml:space="preserve">In H. </w:t>
      </w:r>
      <w:r w:rsidRPr="00E71D1F">
        <w:rPr>
          <w:lang w:val="en-GB"/>
        </w:rPr>
        <w:t>Bathelt,</w:t>
      </w:r>
      <w:r w:rsidR="00AC6BA5">
        <w:rPr>
          <w:lang w:val="en-GB"/>
        </w:rPr>
        <w:t xml:space="preserve"> P.</w:t>
      </w:r>
      <w:r w:rsidRPr="00E71D1F">
        <w:rPr>
          <w:lang w:val="en-GB"/>
        </w:rPr>
        <w:t xml:space="preserve"> Cohendet,</w:t>
      </w:r>
      <w:r w:rsidR="00AC6BA5">
        <w:rPr>
          <w:lang w:val="en-GB"/>
        </w:rPr>
        <w:t xml:space="preserve"> S.</w:t>
      </w:r>
      <w:r w:rsidRPr="00E71D1F">
        <w:rPr>
          <w:lang w:val="en-GB"/>
        </w:rPr>
        <w:t xml:space="preserve"> Henn</w:t>
      </w:r>
      <w:r w:rsidRPr="00771B60">
        <w:rPr>
          <w:lang w:val="en-GB"/>
        </w:rPr>
        <w:t>,</w:t>
      </w:r>
      <w:r w:rsidR="00AC6BA5">
        <w:rPr>
          <w:lang w:val="en-GB"/>
        </w:rPr>
        <w:t xml:space="preserve"> &amp; L.</w:t>
      </w:r>
      <w:r w:rsidRPr="00771B60">
        <w:rPr>
          <w:lang w:val="en-GB"/>
        </w:rPr>
        <w:t xml:space="preserve"> Simon (</w:t>
      </w:r>
      <w:r w:rsidR="00AC6BA5">
        <w:rPr>
          <w:lang w:val="en-GB"/>
        </w:rPr>
        <w:t>E</w:t>
      </w:r>
      <w:r w:rsidR="00AC6BA5" w:rsidRPr="00771B60">
        <w:rPr>
          <w:lang w:val="en-GB"/>
        </w:rPr>
        <w:t>ds</w:t>
      </w:r>
      <w:r w:rsidR="00AC6BA5">
        <w:rPr>
          <w:lang w:val="en-GB"/>
        </w:rPr>
        <w:t>.</w:t>
      </w:r>
      <w:r w:rsidRPr="00771B60">
        <w:rPr>
          <w:lang w:val="en-GB"/>
        </w:rPr>
        <w:t>)</w:t>
      </w:r>
      <w:r w:rsidR="00AC6BA5">
        <w:rPr>
          <w:lang w:val="en-GB"/>
        </w:rPr>
        <w:t>,</w:t>
      </w:r>
      <w:r w:rsidRPr="00771B60">
        <w:rPr>
          <w:lang w:val="en-GB"/>
        </w:rPr>
        <w:t xml:space="preserve"> </w:t>
      </w:r>
      <w:r w:rsidRPr="00771B60">
        <w:rPr>
          <w:i/>
          <w:lang w:val="en-GB"/>
        </w:rPr>
        <w:t>The Elgar Companion to Innovation and Knowledge Creation</w:t>
      </w:r>
      <w:r w:rsidR="00AC6BA5">
        <w:rPr>
          <w:lang w:val="en-GB"/>
        </w:rPr>
        <w:t xml:space="preserve"> (pp. 440</w:t>
      </w:r>
      <w:r w:rsidR="00AC6BA5" w:rsidRPr="000050B8">
        <w:rPr>
          <w:rFonts w:eastAsia="TimesTenLTStd-Roman"/>
          <w:szCs w:val="22"/>
          <w:lang w:val="en-GB"/>
        </w:rPr>
        <w:t>–</w:t>
      </w:r>
      <w:r w:rsidR="00AC6BA5">
        <w:rPr>
          <w:lang w:val="en-GB"/>
        </w:rPr>
        <w:t>456)</w:t>
      </w:r>
      <w:r>
        <w:rPr>
          <w:lang w:val="en-GB"/>
        </w:rPr>
        <w:t>. Cheltenham: Edward Elgar.</w:t>
      </w:r>
    </w:p>
    <w:p w14:paraId="3EF5EFCE" w14:textId="39BEFDDC" w:rsidR="00D63D34" w:rsidRPr="00D63D34" w:rsidRDefault="00D63D34" w:rsidP="00C43B94">
      <w:pPr>
        <w:spacing w:line="480" w:lineRule="auto"/>
        <w:rPr>
          <w:lang w:val="en-GB"/>
        </w:rPr>
      </w:pPr>
      <w:r>
        <w:rPr>
          <w:lang w:val="en-GB"/>
        </w:rPr>
        <w:t>Shearmur, R.,</w:t>
      </w:r>
      <w:r w:rsidR="007D6D17">
        <w:rPr>
          <w:lang w:val="en-GB"/>
        </w:rPr>
        <w:t xml:space="preserve"> &amp;</w:t>
      </w:r>
      <w:r>
        <w:rPr>
          <w:lang w:val="en-GB"/>
        </w:rPr>
        <w:t xml:space="preserve"> </w:t>
      </w:r>
      <w:proofErr w:type="spellStart"/>
      <w:r>
        <w:rPr>
          <w:lang w:val="en-GB"/>
        </w:rPr>
        <w:t>Doloreux</w:t>
      </w:r>
      <w:proofErr w:type="spellEnd"/>
      <w:r>
        <w:rPr>
          <w:lang w:val="en-GB"/>
        </w:rPr>
        <w:t xml:space="preserve">, D. </w:t>
      </w:r>
      <w:r w:rsidR="00CC6A5F">
        <w:rPr>
          <w:lang w:val="en-GB"/>
        </w:rPr>
        <w:t>(</w:t>
      </w:r>
      <w:r>
        <w:rPr>
          <w:lang w:val="en-GB"/>
        </w:rPr>
        <w:t>2016</w:t>
      </w:r>
      <w:r w:rsidR="00CC6A5F">
        <w:rPr>
          <w:lang w:val="en-GB"/>
        </w:rPr>
        <w:t>)</w:t>
      </w:r>
      <w:r>
        <w:rPr>
          <w:lang w:val="en-GB"/>
        </w:rPr>
        <w:t xml:space="preserve">. How open innovation processes vary between urban and remote environments: Slow innovators, market-sourced information and frequency of interaction. </w:t>
      </w:r>
      <w:r>
        <w:rPr>
          <w:i/>
          <w:lang w:val="en-GB"/>
        </w:rPr>
        <w:t>Entrepreneurship and Regional Development</w:t>
      </w:r>
      <w:r w:rsidR="00790751">
        <w:rPr>
          <w:lang w:val="en-GB"/>
        </w:rPr>
        <w:t>,</w:t>
      </w:r>
      <w:r>
        <w:rPr>
          <w:lang w:val="en-GB"/>
        </w:rPr>
        <w:t xml:space="preserve"> </w:t>
      </w:r>
      <w:r w:rsidRPr="00EB63F1">
        <w:rPr>
          <w:i/>
          <w:lang w:val="en-GB"/>
        </w:rPr>
        <w:t>28</w:t>
      </w:r>
      <w:r>
        <w:rPr>
          <w:lang w:val="en-GB"/>
        </w:rPr>
        <w:t>(5-6</w:t>
      </w:r>
      <w:r w:rsidR="00A33EEC">
        <w:rPr>
          <w:lang w:val="en-GB"/>
        </w:rPr>
        <w:t xml:space="preserve">), </w:t>
      </w:r>
      <w:r>
        <w:rPr>
          <w:lang w:val="en-GB"/>
        </w:rPr>
        <w:t>337</w:t>
      </w:r>
      <w:r w:rsidR="00CA67D4" w:rsidRPr="000050B8">
        <w:rPr>
          <w:rFonts w:eastAsia="TimesTenLTStd-Roman"/>
          <w:szCs w:val="22"/>
          <w:lang w:val="en-GB"/>
        </w:rPr>
        <w:t>–</w:t>
      </w:r>
      <w:r>
        <w:rPr>
          <w:lang w:val="en-GB"/>
        </w:rPr>
        <w:t>357.</w:t>
      </w:r>
    </w:p>
    <w:p w14:paraId="42F63BCD" w14:textId="550A55B0" w:rsidR="00257440" w:rsidRPr="000050B8" w:rsidRDefault="00257440" w:rsidP="00C43B94">
      <w:pPr>
        <w:spacing w:line="480" w:lineRule="auto"/>
        <w:rPr>
          <w:lang w:val="en-GB"/>
        </w:rPr>
      </w:pPr>
      <w:r w:rsidRPr="000050B8">
        <w:rPr>
          <w:lang w:val="en-GB"/>
        </w:rPr>
        <w:lastRenderedPageBreak/>
        <w:t xml:space="preserve">Solesvik, M. </w:t>
      </w:r>
      <w:r w:rsidR="007D6D17">
        <w:rPr>
          <w:lang w:val="en-GB"/>
        </w:rPr>
        <w:t>&amp;</w:t>
      </w:r>
      <w:r w:rsidR="007D6D17" w:rsidRPr="000050B8">
        <w:rPr>
          <w:lang w:val="en-GB"/>
        </w:rPr>
        <w:t xml:space="preserve"> </w:t>
      </w:r>
      <w:r w:rsidRPr="000050B8">
        <w:rPr>
          <w:lang w:val="en-GB"/>
        </w:rPr>
        <w:t xml:space="preserve">Gulbrandsen, M. </w:t>
      </w:r>
      <w:r w:rsidR="00CC6A5F">
        <w:rPr>
          <w:lang w:val="en-GB"/>
        </w:rPr>
        <w:t>(</w:t>
      </w:r>
      <w:r w:rsidRPr="000050B8">
        <w:rPr>
          <w:lang w:val="en-GB"/>
        </w:rPr>
        <w:t>2014</w:t>
      </w:r>
      <w:r w:rsidR="00CC6A5F">
        <w:rPr>
          <w:lang w:val="en-GB"/>
        </w:rPr>
        <w:t>)</w:t>
      </w:r>
      <w:r w:rsidRPr="000050B8">
        <w:rPr>
          <w:lang w:val="en-GB"/>
        </w:rPr>
        <w:t xml:space="preserve">. Interactions for innovation: Comparing Norwegian regions. </w:t>
      </w:r>
      <w:r w:rsidRPr="00E63EA5">
        <w:rPr>
          <w:i/>
          <w:lang w:val="en-GB"/>
        </w:rPr>
        <w:t>Journal of Entrepreneurship Management and Innovation</w:t>
      </w:r>
      <w:r w:rsidR="00790751">
        <w:rPr>
          <w:lang w:val="en-GB"/>
        </w:rPr>
        <w:t>,</w:t>
      </w:r>
      <w:r w:rsidRPr="000050B8">
        <w:rPr>
          <w:lang w:val="en-GB"/>
        </w:rPr>
        <w:t xml:space="preserve"> </w:t>
      </w:r>
      <w:r w:rsidRPr="00EB63F1">
        <w:rPr>
          <w:i/>
          <w:lang w:val="en-GB"/>
        </w:rPr>
        <w:t>10</w:t>
      </w:r>
      <w:r w:rsidRPr="000050B8">
        <w:rPr>
          <w:lang w:val="en-GB"/>
        </w:rPr>
        <w:t>(3</w:t>
      </w:r>
      <w:r w:rsidR="00A33EEC" w:rsidRPr="000050B8">
        <w:rPr>
          <w:lang w:val="en-GB"/>
        </w:rPr>
        <w:t>)</w:t>
      </w:r>
      <w:r w:rsidR="00A33EEC">
        <w:rPr>
          <w:lang w:val="en-GB"/>
        </w:rPr>
        <w:t>,</w:t>
      </w:r>
      <w:r w:rsidR="00A33EEC" w:rsidRPr="000050B8">
        <w:rPr>
          <w:lang w:val="en-GB"/>
        </w:rPr>
        <w:t xml:space="preserve"> </w:t>
      </w:r>
      <w:r w:rsidRPr="000050B8">
        <w:rPr>
          <w:lang w:val="en-GB"/>
        </w:rPr>
        <w:t>7</w:t>
      </w:r>
      <w:r w:rsidR="00CA67D4" w:rsidRPr="000050B8">
        <w:rPr>
          <w:rFonts w:eastAsia="TimesTenLTStd-Roman"/>
          <w:szCs w:val="22"/>
          <w:lang w:val="en-GB"/>
        </w:rPr>
        <w:t>–</w:t>
      </w:r>
      <w:r w:rsidRPr="000050B8">
        <w:rPr>
          <w:lang w:val="en-GB"/>
        </w:rPr>
        <w:t>28.</w:t>
      </w:r>
    </w:p>
    <w:p w14:paraId="0361A0E3" w14:textId="1E78968A" w:rsidR="004C1E2A" w:rsidRDefault="004C1E2A" w:rsidP="00C43B94">
      <w:pPr>
        <w:spacing w:line="480" w:lineRule="auto"/>
        <w:rPr>
          <w:lang w:val="en-GB"/>
        </w:rPr>
      </w:pPr>
      <w:r>
        <w:rPr>
          <w:lang w:val="en-GB"/>
        </w:rPr>
        <w:t xml:space="preserve">Soo, K.W. </w:t>
      </w:r>
      <w:r w:rsidR="00CC6A5F">
        <w:rPr>
          <w:lang w:val="en-GB"/>
        </w:rPr>
        <w:t>(</w:t>
      </w:r>
      <w:r>
        <w:rPr>
          <w:lang w:val="en-GB"/>
        </w:rPr>
        <w:t>2018</w:t>
      </w:r>
      <w:r w:rsidR="00CC6A5F">
        <w:rPr>
          <w:lang w:val="en-GB"/>
        </w:rPr>
        <w:t>)</w:t>
      </w:r>
      <w:r>
        <w:rPr>
          <w:lang w:val="en-GB"/>
        </w:rPr>
        <w:t xml:space="preserve">. Innovation across cities. </w:t>
      </w:r>
      <w:r>
        <w:rPr>
          <w:i/>
          <w:lang w:val="en-GB"/>
        </w:rPr>
        <w:t>Journal of Regional Science</w:t>
      </w:r>
      <w:r w:rsidR="00790751">
        <w:rPr>
          <w:lang w:val="en-GB"/>
        </w:rPr>
        <w:t>,</w:t>
      </w:r>
      <w:r>
        <w:rPr>
          <w:lang w:val="en-GB"/>
        </w:rPr>
        <w:t xml:space="preserve"> </w:t>
      </w:r>
      <w:r w:rsidRPr="00EB63F1">
        <w:rPr>
          <w:i/>
          <w:lang w:val="en-GB"/>
        </w:rPr>
        <w:t>58</w:t>
      </w:r>
      <w:r>
        <w:rPr>
          <w:lang w:val="en-GB"/>
        </w:rPr>
        <w:t>(2</w:t>
      </w:r>
      <w:r w:rsidR="00A33EEC">
        <w:rPr>
          <w:lang w:val="en-GB"/>
        </w:rPr>
        <w:t xml:space="preserve">), </w:t>
      </w:r>
      <w:r>
        <w:rPr>
          <w:lang w:val="en-GB"/>
        </w:rPr>
        <w:t>295</w:t>
      </w:r>
      <w:r w:rsidR="00CA67D4" w:rsidRPr="000050B8">
        <w:rPr>
          <w:rFonts w:eastAsia="TimesTenLTStd-Roman"/>
          <w:szCs w:val="22"/>
          <w:lang w:val="en-GB"/>
        </w:rPr>
        <w:t>–</w:t>
      </w:r>
      <w:r>
        <w:rPr>
          <w:lang w:val="en-GB"/>
        </w:rPr>
        <w:t>314.</w:t>
      </w:r>
    </w:p>
    <w:p w14:paraId="3F940EA9" w14:textId="4D2C5AC2" w:rsidR="000556F3" w:rsidRPr="000556F3" w:rsidRDefault="000556F3" w:rsidP="00C43B94">
      <w:pPr>
        <w:spacing w:line="480" w:lineRule="auto"/>
        <w:rPr>
          <w:lang w:val="en-GB"/>
        </w:rPr>
      </w:pPr>
      <w:r>
        <w:rPr>
          <w:lang w:val="en-GB"/>
        </w:rPr>
        <w:t>Soto, J.,</w:t>
      </w:r>
      <w:r w:rsidR="007D6D17">
        <w:rPr>
          <w:lang w:val="en-GB"/>
        </w:rPr>
        <w:t xml:space="preserve"> &amp;</w:t>
      </w:r>
      <w:r>
        <w:rPr>
          <w:lang w:val="en-GB"/>
        </w:rPr>
        <w:t xml:space="preserve"> Paredes, D. </w:t>
      </w:r>
      <w:r w:rsidR="00CC6A5F">
        <w:rPr>
          <w:lang w:val="en-GB"/>
        </w:rPr>
        <w:t>(</w:t>
      </w:r>
      <w:r>
        <w:rPr>
          <w:lang w:val="en-GB"/>
        </w:rPr>
        <w:t>2016</w:t>
      </w:r>
      <w:r w:rsidR="00CC6A5F">
        <w:rPr>
          <w:lang w:val="en-GB"/>
        </w:rPr>
        <w:t>)</w:t>
      </w:r>
      <w:r>
        <w:rPr>
          <w:lang w:val="en-GB"/>
        </w:rPr>
        <w:t xml:space="preserve">. Cities, wages, and the urban hierarchy. </w:t>
      </w:r>
      <w:r>
        <w:rPr>
          <w:i/>
          <w:lang w:val="en-GB"/>
        </w:rPr>
        <w:t>Journal of Regional Science</w:t>
      </w:r>
      <w:r w:rsidR="00790751">
        <w:rPr>
          <w:lang w:val="en-GB"/>
        </w:rPr>
        <w:t>,</w:t>
      </w:r>
      <w:r>
        <w:rPr>
          <w:i/>
          <w:lang w:val="en-GB"/>
        </w:rPr>
        <w:t xml:space="preserve"> </w:t>
      </w:r>
      <w:r w:rsidRPr="00EB63F1">
        <w:rPr>
          <w:i/>
          <w:lang w:val="en-GB"/>
        </w:rPr>
        <w:t>56</w:t>
      </w:r>
      <w:r>
        <w:rPr>
          <w:lang w:val="en-GB"/>
        </w:rPr>
        <w:t>(4</w:t>
      </w:r>
      <w:r w:rsidR="00A33EEC">
        <w:rPr>
          <w:lang w:val="en-GB"/>
        </w:rPr>
        <w:t xml:space="preserve">), </w:t>
      </w:r>
      <w:r>
        <w:rPr>
          <w:lang w:val="en-GB"/>
        </w:rPr>
        <w:t>596</w:t>
      </w:r>
      <w:r w:rsidR="00CA67D4" w:rsidRPr="000050B8">
        <w:rPr>
          <w:rFonts w:eastAsia="TimesTenLTStd-Roman"/>
          <w:szCs w:val="22"/>
          <w:lang w:val="en-GB"/>
        </w:rPr>
        <w:t>–</w:t>
      </w:r>
      <w:r>
        <w:rPr>
          <w:lang w:val="en-GB"/>
        </w:rPr>
        <w:t>614.</w:t>
      </w:r>
    </w:p>
    <w:p w14:paraId="2B078A5E" w14:textId="737DF873" w:rsidR="001E3F86" w:rsidRPr="000050B8" w:rsidRDefault="001E3F86" w:rsidP="00C43B94">
      <w:pPr>
        <w:spacing w:line="480" w:lineRule="auto"/>
        <w:rPr>
          <w:lang w:val="en-GB"/>
        </w:rPr>
      </w:pPr>
      <w:r w:rsidRPr="005E6822">
        <w:rPr>
          <w:lang w:val="en-GB"/>
        </w:rPr>
        <w:t xml:space="preserve">Storper, M., Kemeny, T., </w:t>
      </w:r>
      <w:proofErr w:type="spellStart"/>
      <w:r w:rsidRPr="005E6822">
        <w:rPr>
          <w:lang w:val="en-GB"/>
        </w:rPr>
        <w:t>Makarem</w:t>
      </w:r>
      <w:proofErr w:type="spellEnd"/>
      <w:r w:rsidRPr="005E6822">
        <w:rPr>
          <w:lang w:val="en-GB"/>
        </w:rPr>
        <w:t xml:space="preserve">, N.P., </w:t>
      </w:r>
      <w:r w:rsidR="007D6D17" w:rsidRPr="005E6822">
        <w:rPr>
          <w:lang w:val="en-GB"/>
        </w:rPr>
        <w:t xml:space="preserve">&amp; </w:t>
      </w:r>
      <w:r w:rsidRPr="005E6822">
        <w:rPr>
          <w:lang w:val="en-GB"/>
        </w:rPr>
        <w:t xml:space="preserve">Osman, T. </w:t>
      </w:r>
      <w:r w:rsidR="00CC6A5F" w:rsidRPr="005E6822">
        <w:rPr>
          <w:lang w:val="en-GB"/>
        </w:rPr>
        <w:t>(</w:t>
      </w:r>
      <w:r w:rsidRPr="005E6822">
        <w:rPr>
          <w:lang w:val="en-GB"/>
        </w:rPr>
        <w:t>2015</w:t>
      </w:r>
      <w:r w:rsidR="00CC6A5F" w:rsidRPr="005E6822">
        <w:rPr>
          <w:lang w:val="en-GB"/>
        </w:rPr>
        <w:t>)</w:t>
      </w:r>
      <w:r w:rsidRPr="005E6822">
        <w:rPr>
          <w:lang w:val="en-GB"/>
        </w:rPr>
        <w:t xml:space="preserve">. </w:t>
      </w:r>
      <w:r w:rsidRPr="000050B8">
        <w:rPr>
          <w:i/>
          <w:lang w:val="en-GB"/>
        </w:rPr>
        <w:t>The Rise and Fall of Urban Economies: Lessons from San Francisco and Los Angeles</w:t>
      </w:r>
      <w:r w:rsidRPr="000050B8">
        <w:rPr>
          <w:lang w:val="en-GB"/>
        </w:rPr>
        <w:t>. Stanford, CA: Stanford Business Books.</w:t>
      </w:r>
    </w:p>
    <w:p w14:paraId="7469A27C" w14:textId="30806580" w:rsidR="007112AF" w:rsidRPr="000050B8" w:rsidRDefault="007112AF" w:rsidP="00C43B94">
      <w:pPr>
        <w:spacing w:line="480" w:lineRule="auto"/>
        <w:rPr>
          <w:lang w:val="en-GB"/>
        </w:rPr>
      </w:pPr>
      <w:r w:rsidRPr="000050B8">
        <w:rPr>
          <w:lang w:val="en-GB"/>
        </w:rPr>
        <w:t xml:space="preserve">Storper, M., </w:t>
      </w:r>
      <w:r w:rsidR="007D6D17">
        <w:rPr>
          <w:lang w:val="en-GB"/>
        </w:rPr>
        <w:t xml:space="preserve">&amp; </w:t>
      </w:r>
      <w:r w:rsidRPr="000050B8">
        <w:rPr>
          <w:lang w:val="en-GB"/>
        </w:rPr>
        <w:t xml:space="preserve">Venables, A.J. </w:t>
      </w:r>
      <w:r w:rsidR="00CC6A5F">
        <w:rPr>
          <w:lang w:val="en-GB"/>
        </w:rPr>
        <w:t>(</w:t>
      </w:r>
      <w:r w:rsidRPr="000050B8">
        <w:rPr>
          <w:lang w:val="en-GB"/>
        </w:rPr>
        <w:t>2005</w:t>
      </w:r>
      <w:r w:rsidR="00CC6A5F">
        <w:rPr>
          <w:lang w:val="en-GB"/>
        </w:rPr>
        <w:t>)</w:t>
      </w:r>
      <w:r w:rsidRPr="000050B8">
        <w:rPr>
          <w:lang w:val="en-GB"/>
        </w:rPr>
        <w:t xml:space="preserve">. Buzz: Face-to-face contact and the urban economy. </w:t>
      </w:r>
      <w:r w:rsidRPr="000050B8">
        <w:rPr>
          <w:i/>
          <w:lang w:val="en-GB"/>
        </w:rPr>
        <w:t>Journal of Economic Geography</w:t>
      </w:r>
      <w:r w:rsidR="00790751">
        <w:rPr>
          <w:lang w:val="en-GB"/>
        </w:rPr>
        <w:t>,</w:t>
      </w:r>
      <w:r w:rsidRPr="000050B8">
        <w:rPr>
          <w:lang w:val="en-GB"/>
        </w:rPr>
        <w:t xml:space="preserve"> </w:t>
      </w:r>
      <w:r w:rsidRPr="00EB63F1">
        <w:rPr>
          <w:i/>
          <w:lang w:val="en-GB"/>
        </w:rPr>
        <w:t>4</w:t>
      </w:r>
      <w:r w:rsidRPr="000050B8">
        <w:rPr>
          <w:lang w:val="en-GB"/>
        </w:rPr>
        <w:t>(4</w:t>
      </w:r>
      <w:r w:rsidR="00A33EEC" w:rsidRPr="000050B8">
        <w:rPr>
          <w:lang w:val="en-GB"/>
        </w:rPr>
        <w:t>)</w:t>
      </w:r>
      <w:r w:rsidR="00A33EEC">
        <w:rPr>
          <w:lang w:val="en-GB"/>
        </w:rPr>
        <w:t>,</w:t>
      </w:r>
      <w:r w:rsidR="00A33EEC" w:rsidRPr="000050B8">
        <w:rPr>
          <w:lang w:val="en-GB"/>
        </w:rPr>
        <w:t xml:space="preserve"> </w:t>
      </w:r>
      <w:r w:rsidRPr="000050B8">
        <w:rPr>
          <w:lang w:val="en-GB"/>
        </w:rPr>
        <w:t>351</w:t>
      </w:r>
      <w:r w:rsidR="00CA67D4" w:rsidRPr="000050B8">
        <w:rPr>
          <w:rFonts w:eastAsia="TimesTenLTStd-Roman"/>
          <w:szCs w:val="22"/>
          <w:lang w:val="en-GB"/>
        </w:rPr>
        <w:t>–</w:t>
      </w:r>
      <w:r w:rsidRPr="000050B8">
        <w:rPr>
          <w:lang w:val="en-GB"/>
        </w:rPr>
        <w:t>370.</w:t>
      </w:r>
    </w:p>
    <w:p w14:paraId="265BDB29" w14:textId="7194ED0B" w:rsidR="00DE3725" w:rsidRPr="003D5FBD" w:rsidRDefault="00C578E3" w:rsidP="004555B0">
      <w:pPr>
        <w:spacing w:line="480" w:lineRule="auto"/>
        <w:rPr>
          <w:lang w:val="en-GB"/>
        </w:rPr>
      </w:pPr>
      <w:r w:rsidRPr="000050B8">
        <w:rPr>
          <w:lang w:val="en-GB"/>
        </w:rPr>
        <w:t xml:space="preserve">Taylor, P.J. </w:t>
      </w:r>
      <w:r w:rsidR="00CC6A5F">
        <w:rPr>
          <w:lang w:val="en-GB"/>
        </w:rPr>
        <w:t>(</w:t>
      </w:r>
      <w:r w:rsidRPr="000050B8">
        <w:rPr>
          <w:lang w:val="en-GB"/>
        </w:rPr>
        <w:t>2001</w:t>
      </w:r>
      <w:r w:rsidR="00CC6A5F">
        <w:rPr>
          <w:lang w:val="en-GB"/>
        </w:rPr>
        <w:t>)</w:t>
      </w:r>
      <w:r w:rsidRPr="000050B8">
        <w:rPr>
          <w:lang w:val="en-GB"/>
        </w:rPr>
        <w:t xml:space="preserve">. Specification of the world city network. </w:t>
      </w:r>
      <w:r w:rsidRPr="003D5FBD">
        <w:rPr>
          <w:i/>
          <w:lang w:val="en-GB"/>
        </w:rPr>
        <w:t>Geographical Analysis</w:t>
      </w:r>
      <w:r w:rsidR="00790751">
        <w:rPr>
          <w:lang w:val="en-GB"/>
        </w:rPr>
        <w:t>,</w:t>
      </w:r>
      <w:r w:rsidRPr="003D5FBD">
        <w:rPr>
          <w:lang w:val="en-GB"/>
        </w:rPr>
        <w:t xml:space="preserve"> </w:t>
      </w:r>
      <w:r w:rsidRPr="00EB63F1">
        <w:rPr>
          <w:i/>
          <w:lang w:val="en-GB"/>
        </w:rPr>
        <w:t>33</w:t>
      </w:r>
      <w:r w:rsidRPr="003D5FBD">
        <w:rPr>
          <w:lang w:val="en-GB"/>
        </w:rPr>
        <w:t>(2</w:t>
      </w:r>
      <w:r w:rsidR="00A33EEC" w:rsidRPr="003D5FBD">
        <w:rPr>
          <w:lang w:val="en-GB"/>
        </w:rPr>
        <w:t>)</w:t>
      </w:r>
      <w:r w:rsidR="00A33EEC">
        <w:rPr>
          <w:lang w:val="en-GB"/>
        </w:rPr>
        <w:t>,</w:t>
      </w:r>
      <w:r w:rsidR="00A33EEC" w:rsidRPr="003D5FBD">
        <w:rPr>
          <w:lang w:val="en-GB"/>
        </w:rPr>
        <w:t xml:space="preserve"> </w:t>
      </w:r>
      <w:r w:rsidRPr="003D5FBD">
        <w:rPr>
          <w:lang w:val="en-GB"/>
        </w:rPr>
        <w:t>181</w:t>
      </w:r>
      <w:r w:rsidR="00CA67D4" w:rsidRPr="000050B8">
        <w:rPr>
          <w:rFonts w:eastAsia="TimesTenLTStd-Roman"/>
          <w:szCs w:val="22"/>
          <w:lang w:val="en-GB"/>
        </w:rPr>
        <w:t>–</w:t>
      </w:r>
      <w:r w:rsidRPr="003D5FBD">
        <w:rPr>
          <w:lang w:val="en-GB"/>
        </w:rPr>
        <w:t>194.</w:t>
      </w:r>
    </w:p>
    <w:p w14:paraId="15AA032F" w14:textId="0BEFA786" w:rsidR="007D540E" w:rsidRPr="00E63EA5" w:rsidRDefault="007D540E" w:rsidP="004555B0">
      <w:pPr>
        <w:spacing w:line="480" w:lineRule="auto"/>
        <w:rPr>
          <w:lang w:val="en-GB"/>
        </w:rPr>
      </w:pPr>
      <w:proofErr w:type="spellStart"/>
      <w:r w:rsidRPr="00E63EA5">
        <w:rPr>
          <w:lang w:val="en-GB"/>
        </w:rPr>
        <w:t>Teirlinck</w:t>
      </w:r>
      <w:proofErr w:type="spellEnd"/>
      <w:r w:rsidRPr="00E63EA5">
        <w:rPr>
          <w:lang w:val="en-GB"/>
        </w:rPr>
        <w:t>, P.</w:t>
      </w:r>
      <w:r w:rsidR="00E83CE0">
        <w:rPr>
          <w:lang w:val="en-GB"/>
        </w:rPr>
        <w:t>,</w:t>
      </w:r>
      <w:r w:rsidR="007D6D17">
        <w:rPr>
          <w:lang w:val="en-GB"/>
        </w:rPr>
        <w:t xml:space="preserve"> &amp;</w:t>
      </w:r>
      <w:r w:rsidRPr="00E63EA5">
        <w:rPr>
          <w:lang w:val="en-GB"/>
        </w:rPr>
        <w:t xml:space="preserve"> </w:t>
      </w:r>
      <w:proofErr w:type="spellStart"/>
      <w:r w:rsidRPr="00E63EA5">
        <w:rPr>
          <w:lang w:val="en-GB"/>
        </w:rPr>
        <w:t>Spithoven</w:t>
      </w:r>
      <w:proofErr w:type="spellEnd"/>
      <w:r w:rsidRPr="00E63EA5">
        <w:rPr>
          <w:lang w:val="en-GB"/>
        </w:rPr>
        <w:t xml:space="preserve">, A. </w:t>
      </w:r>
      <w:r w:rsidR="00CC6A5F">
        <w:rPr>
          <w:lang w:val="en-GB"/>
        </w:rPr>
        <w:t>(</w:t>
      </w:r>
      <w:r w:rsidRPr="00E63EA5">
        <w:rPr>
          <w:lang w:val="en-GB"/>
        </w:rPr>
        <w:t>2008</w:t>
      </w:r>
      <w:r w:rsidR="00CC6A5F">
        <w:rPr>
          <w:lang w:val="en-GB"/>
        </w:rPr>
        <w:t>)</w:t>
      </w:r>
      <w:r w:rsidRPr="00E63EA5">
        <w:rPr>
          <w:lang w:val="en-GB"/>
        </w:rPr>
        <w:t xml:space="preserve">. The spatial organization of innovation: Open innovation, external knowledge relations and urban structure. </w:t>
      </w:r>
      <w:r w:rsidRPr="00E63EA5">
        <w:rPr>
          <w:i/>
          <w:lang w:val="en-GB"/>
        </w:rPr>
        <w:t>Regional Studies</w:t>
      </w:r>
      <w:r w:rsidR="00790751">
        <w:rPr>
          <w:lang w:val="en-GB"/>
        </w:rPr>
        <w:t>,</w:t>
      </w:r>
      <w:r w:rsidRPr="00E63EA5">
        <w:rPr>
          <w:lang w:val="en-GB"/>
        </w:rPr>
        <w:t xml:space="preserve"> </w:t>
      </w:r>
      <w:r w:rsidRPr="00EB63F1">
        <w:rPr>
          <w:i/>
          <w:lang w:val="en-GB"/>
        </w:rPr>
        <w:t>42</w:t>
      </w:r>
      <w:r w:rsidRPr="00E63EA5">
        <w:rPr>
          <w:lang w:val="en-GB"/>
        </w:rPr>
        <w:t>(5</w:t>
      </w:r>
      <w:r w:rsidR="00A33EEC" w:rsidRPr="00E63EA5">
        <w:rPr>
          <w:lang w:val="en-GB"/>
        </w:rPr>
        <w:t>)</w:t>
      </w:r>
      <w:r w:rsidR="00A33EEC">
        <w:rPr>
          <w:lang w:val="en-GB"/>
        </w:rPr>
        <w:t>,</w:t>
      </w:r>
      <w:r w:rsidR="00A33EEC" w:rsidRPr="00E63EA5">
        <w:rPr>
          <w:lang w:val="en-GB"/>
        </w:rPr>
        <w:t xml:space="preserve"> </w:t>
      </w:r>
      <w:r w:rsidRPr="00E63EA5">
        <w:rPr>
          <w:lang w:val="en-GB"/>
        </w:rPr>
        <w:t>689</w:t>
      </w:r>
      <w:r w:rsidR="00CA67D4" w:rsidRPr="000050B8">
        <w:rPr>
          <w:rFonts w:eastAsia="TimesTenLTStd-Roman"/>
          <w:szCs w:val="22"/>
          <w:lang w:val="en-GB"/>
        </w:rPr>
        <w:t>–</w:t>
      </w:r>
      <w:r w:rsidRPr="00E63EA5">
        <w:rPr>
          <w:lang w:val="en-GB"/>
        </w:rPr>
        <w:t>704.</w:t>
      </w:r>
    </w:p>
    <w:p w14:paraId="1EFD79FF" w14:textId="15869FE7" w:rsidR="00F83199" w:rsidRPr="00E63EA5" w:rsidRDefault="00F83199" w:rsidP="004555B0">
      <w:pPr>
        <w:spacing w:line="480" w:lineRule="auto"/>
        <w:rPr>
          <w:lang w:val="en-GB"/>
        </w:rPr>
      </w:pPr>
      <w:r w:rsidRPr="00E63EA5">
        <w:rPr>
          <w:lang w:val="en-GB"/>
        </w:rPr>
        <w:t>Timmermans, B.</w:t>
      </w:r>
      <w:r w:rsidR="00E83CE0">
        <w:rPr>
          <w:lang w:val="en-GB"/>
        </w:rPr>
        <w:t>,</w:t>
      </w:r>
      <w:r w:rsidRPr="00E63EA5">
        <w:rPr>
          <w:lang w:val="en-GB"/>
        </w:rPr>
        <w:t xml:space="preserve"> </w:t>
      </w:r>
      <w:r w:rsidR="007D6D17">
        <w:rPr>
          <w:lang w:val="en-GB"/>
        </w:rPr>
        <w:t>&amp;</w:t>
      </w:r>
      <w:r w:rsidR="007D6D17" w:rsidRPr="00E63EA5">
        <w:rPr>
          <w:lang w:val="en-GB"/>
        </w:rPr>
        <w:t xml:space="preserve"> </w:t>
      </w:r>
      <w:r w:rsidRPr="00E63EA5">
        <w:rPr>
          <w:lang w:val="en-GB"/>
        </w:rPr>
        <w:t xml:space="preserve">Boschma, R. </w:t>
      </w:r>
      <w:r w:rsidR="00CC6A5F">
        <w:rPr>
          <w:lang w:val="en-GB"/>
        </w:rPr>
        <w:t>(</w:t>
      </w:r>
      <w:r w:rsidRPr="00E63EA5">
        <w:rPr>
          <w:lang w:val="en-GB"/>
        </w:rPr>
        <w:t>2014</w:t>
      </w:r>
      <w:r w:rsidR="00CC6A5F">
        <w:rPr>
          <w:lang w:val="en-GB"/>
        </w:rPr>
        <w:t>)</w:t>
      </w:r>
      <w:r w:rsidRPr="00E63EA5">
        <w:rPr>
          <w:lang w:val="en-GB"/>
        </w:rPr>
        <w:t xml:space="preserve">. The effect of intra- and inter-regional labour mobility on plant performance in Denmark: the significance of related labour inflows. </w:t>
      </w:r>
      <w:r w:rsidRPr="00E63EA5">
        <w:rPr>
          <w:i/>
          <w:lang w:val="en-GB"/>
        </w:rPr>
        <w:t>Journal of Economic Geography</w:t>
      </w:r>
      <w:r w:rsidR="00790751">
        <w:rPr>
          <w:lang w:val="en-GB"/>
        </w:rPr>
        <w:t>,</w:t>
      </w:r>
      <w:r w:rsidRPr="00E63EA5">
        <w:rPr>
          <w:lang w:val="en-GB"/>
        </w:rPr>
        <w:t xml:space="preserve"> </w:t>
      </w:r>
      <w:r w:rsidRPr="00EB63F1">
        <w:rPr>
          <w:i/>
          <w:lang w:val="en-GB"/>
        </w:rPr>
        <w:t>14</w:t>
      </w:r>
      <w:r w:rsidR="00A33EEC">
        <w:rPr>
          <w:lang w:val="en-GB"/>
        </w:rPr>
        <w:t>(2),</w:t>
      </w:r>
      <w:r w:rsidR="00A33EEC" w:rsidRPr="00E63EA5">
        <w:rPr>
          <w:lang w:val="en-GB"/>
        </w:rPr>
        <w:t xml:space="preserve"> </w:t>
      </w:r>
      <w:r w:rsidRPr="00E63EA5">
        <w:rPr>
          <w:lang w:val="en-GB"/>
        </w:rPr>
        <w:t>289</w:t>
      </w:r>
      <w:r w:rsidR="00CA67D4" w:rsidRPr="000050B8">
        <w:rPr>
          <w:rFonts w:eastAsia="TimesTenLTStd-Roman"/>
          <w:szCs w:val="22"/>
          <w:lang w:val="en-GB"/>
        </w:rPr>
        <w:t>–</w:t>
      </w:r>
      <w:r w:rsidRPr="00E63EA5">
        <w:rPr>
          <w:lang w:val="en-GB"/>
        </w:rPr>
        <w:t>311.</w:t>
      </w:r>
    </w:p>
    <w:p w14:paraId="3EA27176" w14:textId="6DA18A44" w:rsidR="00DE3725" w:rsidRPr="001A34A3" w:rsidRDefault="00DE3725" w:rsidP="00C43B94">
      <w:pPr>
        <w:spacing w:line="480" w:lineRule="auto"/>
      </w:pPr>
      <w:proofErr w:type="spellStart"/>
      <w:r w:rsidRPr="003D5FBD">
        <w:rPr>
          <w:lang w:val="en-GB"/>
        </w:rPr>
        <w:t>Tödtling</w:t>
      </w:r>
      <w:proofErr w:type="spellEnd"/>
      <w:r w:rsidRPr="003D5FBD">
        <w:rPr>
          <w:lang w:val="en-GB"/>
        </w:rPr>
        <w:t xml:space="preserve">, F., Grillitsch, M., </w:t>
      </w:r>
      <w:r w:rsidR="007D6D17">
        <w:rPr>
          <w:lang w:val="en-GB"/>
        </w:rPr>
        <w:t xml:space="preserve">&amp; </w:t>
      </w:r>
      <w:proofErr w:type="spellStart"/>
      <w:r w:rsidRPr="003D5FBD">
        <w:rPr>
          <w:lang w:val="en-GB"/>
        </w:rPr>
        <w:t>Höglinger</w:t>
      </w:r>
      <w:proofErr w:type="spellEnd"/>
      <w:r w:rsidRPr="003D5FBD">
        <w:rPr>
          <w:lang w:val="en-GB"/>
        </w:rPr>
        <w:t xml:space="preserve">, C. </w:t>
      </w:r>
      <w:r w:rsidR="00CC6A5F">
        <w:rPr>
          <w:lang w:val="en-GB"/>
        </w:rPr>
        <w:t>(</w:t>
      </w:r>
      <w:r w:rsidRPr="003D5FBD">
        <w:rPr>
          <w:lang w:val="en-GB"/>
        </w:rPr>
        <w:t>2012</w:t>
      </w:r>
      <w:r w:rsidR="00CC6A5F">
        <w:rPr>
          <w:lang w:val="en-GB"/>
        </w:rPr>
        <w:t>)</w:t>
      </w:r>
      <w:r w:rsidRPr="003D5FBD">
        <w:rPr>
          <w:lang w:val="en-GB"/>
        </w:rPr>
        <w:t xml:space="preserve">. </w:t>
      </w:r>
      <w:r w:rsidRPr="000050B8">
        <w:rPr>
          <w:szCs w:val="24"/>
          <w:lang w:val="en-GB"/>
        </w:rPr>
        <w:t xml:space="preserve">Knowledge Sourcing and Innovation in Austrian ICT Companies—How Does Geography Matter? </w:t>
      </w:r>
      <w:r w:rsidRPr="001A34A3">
        <w:rPr>
          <w:i/>
          <w:iCs/>
          <w:szCs w:val="24"/>
        </w:rPr>
        <w:t>Industry &amp; Innovation</w:t>
      </w:r>
      <w:r w:rsidR="00790751">
        <w:rPr>
          <w:lang w:val="en-GB"/>
        </w:rPr>
        <w:t>,</w:t>
      </w:r>
      <w:r w:rsidRPr="001A34A3">
        <w:rPr>
          <w:szCs w:val="24"/>
        </w:rPr>
        <w:t xml:space="preserve"> </w:t>
      </w:r>
      <w:r w:rsidRPr="00EB63F1">
        <w:rPr>
          <w:i/>
          <w:iCs/>
          <w:szCs w:val="24"/>
        </w:rPr>
        <w:t>19</w:t>
      </w:r>
      <w:r w:rsidR="00A33EEC">
        <w:rPr>
          <w:iCs/>
          <w:szCs w:val="24"/>
        </w:rPr>
        <w:t>(4),</w:t>
      </w:r>
      <w:r w:rsidR="00A33EEC" w:rsidRPr="001A34A3">
        <w:rPr>
          <w:szCs w:val="24"/>
        </w:rPr>
        <w:t xml:space="preserve"> </w:t>
      </w:r>
      <w:r w:rsidRPr="001A34A3">
        <w:rPr>
          <w:szCs w:val="24"/>
        </w:rPr>
        <w:t xml:space="preserve">327–348. </w:t>
      </w:r>
    </w:p>
    <w:p w14:paraId="77D76935" w14:textId="69423741" w:rsidR="008F2C04" w:rsidRPr="001A34A3" w:rsidRDefault="008F2C04" w:rsidP="00C43B94">
      <w:pPr>
        <w:spacing w:line="480" w:lineRule="auto"/>
      </w:pPr>
      <w:r w:rsidRPr="001A34A3">
        <w:t xml:space="preserve">Wilhelmsen, L. </w:t>
      </w:r>
      <w:r w:rsidR="00CC6A5F">
        <w:t>(</w:t>
      </w:r>
      <w:r w:rsidRPr="001A34A3">
        <w:t>2011</w:t>
      </w:r>
      <w:r w:rsidR="00CC6A5F">
        <w:t>)</w:t>
      </w:r>
      <w:r w:rsidRPr="001A34A3">
        <w:t>. Innovasjon i norsk næringsliv 2006-2008</w:t>
      </w:r>
      <w:r w:rsidR="00AC6BA5">
        <w:t xml:space="preserve"> (Report 32/2011)</w:t>
      </w:r>
      <w:r w:rsidRPr="001A34A3">
        <w:t>.</w:t>
      </w:r>
      <w:r w:rsidR="00AC6BA5">
        <w:t xml:space="preserve"> Oslo:</w:t>
      </w:r>
      <w:r w:rsidRPr="001A34A3">
        <w:t xml:space="preserve"> Statistics Norway.</w:t>
      </w:r>
    </w:p>
    <w:p w14:paraId="4E892F45" w14:textId="2C4EAFD3" w:rsidR="008F2C04" w:rsidRPr="001A34A3" w:rsidRDefault="008F2C04" w:rsidP="00C43B94">
      <w:pPr>
        <w:spacing w:line="480" w:lineRule="auto"/>
      </w:pPr>
      <w:r w:rsidRPr="001A34A3">
        <w:lastRenderedPageBreak/>
        <w:t>Wilhelmsen, L.,</w:t>
      </w:r>
      <w:r w:rsidR="007D6D17">
        <w:t xml:space="preserve"> &amp;</w:t>
      </w:r>
      <w:r w:rsidRPr="001A34A3">
        <w:t xml:space="preserve"> Foyn, F. </w:t>
      </w:r>
      <w:r w:rsidR="00CC6A5F">
        <w:t>(</w:t>
      </w:r>
      <w:r w:rsidRPr="001A34A3">
        <w:t>2009</w:t>
      </w:r>
      <w:r w:rsidR="00CC6A5F">
        <w:t>)</w:t>
      </w:r>
      <w:r w:rsidRPr="001A34A3">
        <w:t>. Innovasjon i norsk næringsliv 2004-2006</w:t>
      </w:r>
      <w:r w:rsidR="00AC6BA5">
        <w:t xml:space="preserve"> (Report 46/2009)</w:t>
      </w:r>
      <w:r w:rsidRPr="001A34A3">
        <w:t xml:space="preserve">. </w:t>
      </w:r>
      <w:r w:rsidR="00AC6BA5">
        <w:t xml:space="preserve">Oslo: </w:t>
      </w:r>
      <w:r w:rsidRPr="001A34A3">
        <w:t>Statistics Norway.</w:t>
      </w:r>
    </w:p>
    <w:p w14:paraId="4DA3518C" w14:textId="61BC0B1D" w:rsidR="008F2C04" w:rsidRPr="000050B8" w:rsidRDefault="008F2C04" w:rsidP="00C43B94">
      <w:pPr>
        <w:spacing w:line="480" w:lineRule="auto"/>
        <w:rPr>
          <w:lang w:val="en-GB"/>
        </w:rPr>
      </w:pPr>
      <w:r w:rsidRPr="001A34A3">
        <w:t>Wilhelmsen, L.,</w:t>
      </w:r>
      <w:r w:rsidR="007D6D17">
        <w:t xml:space="preserve"> &amp;</w:t>
      </w:r>
      <w:r w:rsidRPr="001A34A3">
        <w:t xml:space="preserve"> Foyn, F. </w:t>
      </w:r>
      <w:r w:rsidR="00CC6A5F">
        <w:t>(</w:t>
      </w:r>
      <w:r w:rsidRPr="001A34A3">
        <w:t>2012</w:t>
      </w:r>
      <w:r w:rsidR="00CC6A5F">
        <w:t>)</w:t>
      </w:r>
      <w:r w:rsidRPr="001A34A3">
        <w:t>. Innovasjon i norsk næringsliv 2008-2010</w:t>
      </w:r>
      <w:r w:rsidR="00AC6BA5">
        <w:t xml:space="preserve"> (Report 46/2012)</w:t>
      </w:r>
      <w:r w:rsidRPr="001A34A3">
        <w:t xml:space="preserve">. </w:t>
      </w:r>
      <w:r w:rsidR="00AC6BA5">
        <w:t xml:space="preserve">Oslo: </w:t>
      </w:r>
      <w:r w:rsidRPr="000050B8">
        <w:rPr>
          <w:lang w:val="en-GB"/>
        </w:rPr>
        <w:t>Statistics Norway.</w:t>
      </w:r>
    </w:p>
    <w:p w14:paraId="3A0C67D5" w14:textId="4897875A" w:rsidR="008606F5" w:rsidRDefault="00D471CF" w:rsidP="00C43B94">
      <w:pPr>
        <w:spacing w:line="480" w:lineRule="auto"/>
        <w:rPr>
          <w:lang w:val="en-GB"/>
        </w:rPr>
      </w:pPr>
      <w:r w:rsidRPr="000050B8">
        <w:rPr>
          <w:lang w:val="en-GB"/>
        </w:rPr>
        <w:t xml:space="preserve">Williams, R. </w:t>
      </w:r>
      <w:r w:rsidR="00CC6A5F">
        <w:rPr>
          <w:lang w:val="en-GB"/>
        </w:rPr>
        <w:t>(</w:t>
      </w:r>
      <w:r w:rsidRPr="000050B8">
        <w:rPr>
          <w:lang w:val="en-GB"/>
        </w:rPr>
        <w:t>2012</w:t>
      </w:r>
      <w:r w:rsidR="00CC6A5F">
        <w:rPr>
          <w:lang w:val="en-GB"/>
        </w:rPr>
        <w:t>)</w:t>
      </w:r>
      <w:r w:rsidRPr="000050B8">
        <w:rPr>
          <w:lang w:val="en-GB"/>
        </w:rPr>
        <w:t xml:space="preserve">. Using the Margins Command to Estimate and Interpret Adjusted Predictions and Marginal Effects. </w:t>
      </w:r>
      <w:r w:rsidRPr="000050B8">
        <w:rPr>
          <w:i/>
          <w:lang w:val="en-GB"/>
        </w:rPr>
        <w:t>Stata Journal</w:t>
      </w:r>
      <w:r w:rsidR="00790751">
        <w:rPr>
          <w:lang w:val="en-GB"/>
        </w:rPr>
        <w:t>,</w:t>
      </w:r>
      <w:r w:rsidRPr="000050B8">
        <w:rPr>
          <w:lang w:val="en-GB"/>
        </w:rPr>
        <w:t xml:space="preserve"> </w:t>
      </w:r>
      <w:r w:rsidRPr="00EB63F1">
        <w:rPr>
          <w:i/>
          <w:lang w:val="en-GB"/>
        </w:rPr>
        <w:t>12</w:t>
      </w:r>
      <w:r w:rsidR="00A33EEC">
        <w:rPr>
          <w:lang w:val="en-GB"/>
        </w:rPr>
        <w:t>(2),</w:t>
      </w:r>
      <w:r w:rsidR="00A33EEC" w:rsidRPr="000050B8">
        <w:rPr>
          <w:lang w:val="en-GB"/>
        </w:rPr>
        <w:t xml:space="preserve"> </w:t>
      </w:r>
      <w:r w:rsidRPr="000050B8">
        <w:rPr>
          <w:lang w:val="en-GB"/>
        </w:rPr>
        <w:t>308</w:t>
      </w:r>
      <w:r w:rsidR="00CA67D4" w:rsidRPr="000050B8">
        <w:rPr>
          <w:rFonts w:eastAsia="TimesTenLTStd-Roman"/>
          <w:szCs w:val="22"/>
          <w:lang w:val="en-GB"/>
        </w:rPr>
        <w:t>–</w:t>
      </w:r>
      <w:r w:rsidRPr="000050B8">
        <w:rPr>
          <w:lang w:val="en-GB"/>
        </w:rPr>
        <w:t>331.</w:t>
      </w:r>
    </w:p>
    <w:p w14:paraId="4D043383" w14:textId="60C80353" w:rsidR="000F16C4" w:rsidRDefault="000F16C4">
      <w:pPr>
        <w:spacing w:after="0" w:line="240" w:lineRule="auto"/>
        <w:jc w:val="left"/>
        <w:rPr>
          <w:lang w:val="en-GB"/>
        </w:rPr>
      </w:pPr>
      <w:r>
        <w:rPr>
          <w:lang w:val="en-GB"/>
        </w:rPr>
        <w:br w:type="page"/>
      </w:r>
    </w:p>
    <w:p w14:paraId="1834C50D" w14:textId="77777777" w:rsidR="000F16C4" w:rsidRPr="00196044" w:rsidRDefault="000F16C4" w:rsidP="000F16C4">
      <w:pPr>
        <w:keepNext/>
        <w:rPr>
          <w:b/>
          <w:szCs w:val="24"/>
          <w:lang w:val="en-US"/>
        </w:rPr>
      </w:pPr>
      <w:r>
        <w:rPr>
          <w:b/>
          <w:szCs w:val="24"/>
          <w:lang w:val="en-US"/>
        </w:rPr>
        <w:lastRenderedPageBreak/>
        <w:t xml:space="preserve">Appendix </w:t>
      </w:r>
      <w:r w:rsidRPr="00196044">
        <w:rPr>
          <w:b/>
          <w:szCs w:val="24"/>
          <w:lang w:val="en-US"/>
        </w:rPr>
        <w:t xml:space="preserve">Table </w:t>
      </w:r>
      <w:r>
        <w:rPr>
          <w:b/>
          <w:szCs w:val="24"/>
          <w:lang w:val="en-US"/>
        </w:rPr>
        <w:t>A.</w:t>
      </w:r>
      <w:r w:rsidRPr="00196044">
        <w:rPr>
          <w:b/>
          <w:szCs w:val="24"/>
          <w:lang w:val="en-US"/>
        </w:rPr>
        <w:t xml:space="preserve">1: </w:t>
      </w:r>
      <w:r>
        <w:rPr>
          <w:b/>
          <w:szCs w:val="24"/>
          <w:lang w:val="en-US"/>
        </w:rPr>
        <w:t>Descriptive</w:t>
      </w:r>
      <w:r w:rsidRPr="00196044">
        <w:rPr>
          <w:b/>
          <w:szCs w:val="24"/>
          <w:lang w:val="en-US"/>
        </w:rPr>
        <w:t xml:space="preserve"> statistics</w:t>
      </w:r>
      <w:r>
        <w:rPr>
          <w:b/>
          <w:szCs w:val="24"/>
          <w:lang w:val="en-US"/>
        </w:rPr>
        <w:t xml:space="preserve"> on the sample</w:t>
      </w:r>
    </w:p>
    <w:tbl>
      <w:tblPr>
        <w:tblW w:w="0" w:type="auto"/>
        <w:tblLayout w:type="fixed"/>
        <w:tblLook w:val="00A0" w:firstRow="1" w:lastRow="0" w:firstColumn="1" w:lastColumn="0" w:noHBand="0" w:noVBand="0"/>
      </w:tblPr>
      <w:tblGrid>
        <w:gridCol w:w="4820"/>
        <w:gridCol w:w="1063"/>
        <w:gridCol w:w="1063"/>
        <w:gridCol w:w="1063"/>
        <w:gridCol w:w="1063"/>
      </w:tblGrid>
      <w:tr w:rsidR="000F16C4" w:rsidRPr="00196044" w14:paraId="10BAA2CF" w14:textId="77777777" w:rsidTr="000972AF">
        <w:tc>
          <w:tcPr>
            <w:tcW w:w="4820" w:type="dxa"/>
            <w:tcBorders>
              <w:top w:val="single" w:sz="4" w:space="0" w:color="auto"/>
              <w:bottom w:val="single" w:sz="4" w:space="0" w:color="auto"/>
            </w:tcBorders>
          </w:tcPr>
          <w:p w14:paraId="3B784D14" w14:textId="77777777" w:rsidR="000F16C4" w:rsidRPr="00196044" w:rsidRDefault="000F16C4" w:rsidP="000972AF">
            <w:pPr>
              <w:keepNext/>
              <w:spacing w:after="0"/>
              <w:rPr>
                <w:szCs w:val="24"/>
                <w:lang w:val="en-US"/>
              </w:rPr>
            </w:pPr>
          </w:p>
        </w:tc>
        <w:tc>
          <w:tcPr>
            <w:tcW w:w="2126" w:type="dxa"/>
            <w:gridSpan w:val="2"/>
            <w:tcBorders>
              <w:top w:val="single" w:sz="4" w:space="0" w:color="auto"/>
              <w:bottom w:val="single" w:sz="4" w:space="0" w:color="auto"/>
            </w:tcBorders>
          </w:tcPr>
          <w:p w14:paraId="1131CB70" w14:textId="77777777" w:rsidR="000F16C4" w:rsidRPr="00196044" w:rsidRDefault="000F16C4" w:rsidP="000972AF">
            <w:pPr>
              <w:keepNext/>
              <w:spacing w:after="0"/>
              <w:jc w:val="center"/>
              <w:rPr>
                <w:szCs w:val="24"/>
                <w:lang w:val="en-US"/>
              </w:rPr>
            </w:pPr>
            <w:r w:rsidRPr="00196044">
              <w:rPr>
                <w:szCs w:val="24"/>
                <w:lang w:val="en-US"/>
              </w:rPr>
              <w:t>2006-2008</w:t>
            </w:r>
          </w:p>
        </w:tc>
        <w:tc>
          <w:tcPr>
            <w:tcW w:w="2126" w:type="dxa"/>
            <w:gridSpan w:val="2"/>
            <w:tcBorders>
              <w:top w:val="single" w:sz="4" w:space="0" w:color="auto"/>
              <w:bottom w:val="single" w:sz="4" w:space="0" w:color="auto"/>
            </w:tcBorders>
          </w:tcPr>
          <w:p w14:paraId="3E5652FE" w14:textId="77777777" w:rsidR="000F16C4" w:rsidRPr="00196044" w:rsidRDefault="000F16C4" w:rsidP="000972AF">
            <w:pPr>
              <w:keepNext/>
              <w:spacing w:after="0"/>
              <w:jc w:val="center"/>
              <w:rPr>
                <w:szCs w:val="24"/>
                <w:lang w:val="en-US"/>
              </w:rPr>
            </w:pPr>
            <w:r w:rsidRPr="00196044">
              <w:rPr>
                <w:szCs w:val="24"/>
                <w:lang w:val="en-US"/>
              </w:rPr>
              <w:t>2008-2010</w:t>
            </w:r>
          </w:p>
        </w:tc>
      </w:tr>
      <w:tr w:rsidR="000F16C4" w:rsidRPr="00196044" w14:paraId="1FBDCB66" w14:textId="77777777" w:rsidTr="000972AF">
        <w:tc>
          <w:tcPr>
            <w:tcW w:w="4820" w:type="dxa"/>
            <w:tcBorders>
              <w:top w:val="single" w:sz="4" w:space="0" w:color="auto"/>
              <w:bottom w:val="single" w:sz="4" w:space="0" w:color="auto"/>
            </w:tcBorders>
          </w:tcPr>
          <w:p w14:paraId="63048C14" w14:textId="77777777" w:rsidR="000F16C4" w:rsidRPr="00196044" w:rsidRDefault="000F16C4" w:rsidP="000972AF">
            <w:pPr>
              <w:keepNext/>
              <w:spacing w:after="0"/>
              <w:rPr>
                <w:i/>
                <w:szCs w:val="24"/>
                <w:lang w:val="en-US"/>
              </w:rPr>
            </w:pPr>
            <w:r w:rsidRPr="00196044">
              <w:rPr>
                <w:i/>
                <w:szCs w:val="24"/>
                <w:lang w:val="en-US"/>
              </w:rPr>
              <w:t>No. of employees</w:t>
            </w:r>
          </w:p>
        </w:tc>
        <w:tc>
          <w:tcPr>
            <w:tcW w:w="1063" w:type="dxa"/>
            <w:tcBorders>
              <w:top w:val="single" w:sz="4" w:space="0" w:color="auto"/>
              <w:bottom w:val="single" w:sz="4" w:space="0" w:color="auto"/>
            </w:tcBorders>
          </w:tcPr>
          <w:p w14:paraId="407ED3E7" w14:textId="77777777" w:rsidR="000F16C4" w:rsidRPr="00196044" w:rsidRDefault="000F16C4" w:rsidP="000972AF">
            <w:pPr>
              <w:keepNext/>
              <w:spacing w:after="0"/>
              <w:jc w:val="center"/>
              <w:rPr>
                <w:i/>
                <w:szCs w:val="24"/>
                <w:lang w:val="en-US"/>
              </w:rPr>
            </w:pPr>
            <w:r w:rsidRPr="00196044">
              <w:rPr>
                <w:i/>
                <w:szCs w:val="24"/>
                <w:lang w:val="en-US"/>
              </w:rPr>
              <w:t>N</w:t>
            </w:r>
          </w:p>
        </w:tc>
        <w:tc>
          <w:tcPr>
            <w:tcW w:w="1063" w:type="dxa"/>
            <w:tcBorders>
              <w:top w:val="single" w:sz="4" w:space="0" w:color="auto"/>
              <w:bottom w:val="single" w:sz="4" w:space="0" w:color="auto"/>
            </w:tcBorders>
          </w:tcPr>
          <w:p w14:paraId="5C940953" w14:textId="77777777" w:rsidR="000F16C4" w:rsidRPr="00196044" w:rsidRDefault="000F16C4" w:rsidP="000972AF">
            <w:pPr>
              <w:keepNext/>
              <w:spacing w:after="0"/>
              <w:jc w:val="center"/>
              <w:rPr>
                <w:i/>
                <w:szCs w:val="24"/>
                <w:lang w:val="en-US"/>
              </w:rPr>
            </w:pPr>
            <w:r w:rsidRPr="00196044">
              <w:rPr>
                <w:i/>
                <w:szCs w:val="24"/>
                <w:lang w:val="en-US"/>
              </w:rPr>
              <w:t>Percent</w:t>
            </w:r>
          </w:p>
        </w:tc>
        <w:tc>
          <w:tcPr>
            <w:tcW w:w="1063" w:type="dxa"/>
            <w:tcBorders>
              <w:top w:val="single" w:sz="4" w:space="0" w:color="auto"/>
              <w:bottom w:val="single" w:sz="4" w:space="0" w:color="auto"/>
            </w:tcBorders>
          </w:tcPr>
          <w:p w14:paraId="3636AF23" w14:textId="77777777" w:rsidR="000F16C4" w:rsidRPr="00196044" w:rsidRDefault="000F16C4" w:rsidP="000972AF">
            <w:pPr>
              <w:keepNext/>
              <w:spacing w:after="0"/>
              <w:jc w:val="center"/>
              <w:rPr>
                <w:i/>
                <w:szCs w:val="24"/>
                <w:lang w:val="en-US"/>
              </w:rPr>
            </w:pPr>
            <w:r w:rsidRPr="00196044">
              <w:rPr>
                <w:i/>
                <w:szCs w:val="24"/>
                <w:lang w:val="en-US"/>
              </w:rPr>
              <w:t>N</w:t>
            </w:r>
          </w:p>
        </w:tc>
        <w:tc>
          <w:tcPr>
            <w:tcW w:w="1063" w:type="dxa"/>
            <w:tcBorders>
              <w:top w:val="single" w:sz="4" w:space="0" w:color="auto"/>
              <w:bottom w:val="single" w:sz="4" w:space="0" w:color="auto"/>
            </w:tcBorders>
          </w:tcPr>
          <w:p w14:paraId="6AE9A076" w14:textId="77777777" w:rsidR="000F16C4" w:rsidRPr="00196044" w:rsidRDefault="000F16C4" w:rsidP="000972AF">
            <w:pPr>
              <w:keepNext/>
              <w:spacing w:after="0"/>
              <w:jc w:val="center"/>
              <w:rPr>
                <w:i/>
                <w:szCs w:val="24"/>
                <w:lang w:val="en-US"/>
              </w:rPr>
            </w:pPr>
            <w:r w:rsidRPr="00196044">
              <w:rPr>
                <w:i/>
                <w:szCs w:val="24"/>
                <w:lang w:val="en-US"/>
              </w:rPr>
              <w:t>Percent</w:t>
            </w:r>
          </w:p>
        </w:tc>
      </w:tr>
      <w:tr w:rsidR="000F16C4" w:rsidRPr="00196044" w14:paraId="6BC89F3F" w14:textId="77777777" w:rsidTr="000972AF">
        <w:tc>
          <w:tcPr>
            <w:tcW w:w="4820" w:type="dxa"/>
            <w:tcBorders>
              <w:top w:val="single" w:sz="4" w:space="0" w:color="auto"/>
            </w:tcBorders>
          </w:tcPr>
          <w:p w14:paraId="4F30DDB2" w14:textId="77777777" w:rsidR="000F16C4" w:rsidRPr="00196044" w:rsidRDefault="000F16C4" w:rsidP="000972AF">
            <w:pPr>
              <w:keepNext/>
              <w:spacing w:after="0"/>
              <w:rPr>
                <w:szCs w:val="24"/>
                <w:lang w:val="en-US"/>
              </w:rPr>
            </w:pPr>
            <w:r w:rsidRPr="00196044">
              <w:rPr>
                <w:szCs w:val="24"/>
                <w:lang w:val="en-US"/>
              </w:rPr>
              <w:t>&lt;19</w:t>
            </w:r>
          </w:p>
        </w:tc>
        <w:tc>
          <w:tcPr>
            <w:tcW w:w="1063" w:type="dxa"/>
            <w:tcBorders>
              <w:top w:val="single" w:sz="4" w:space="0" w:color="auto"/>
            </w:tcBorders>
          </w:tcPr>
          <w:p w14:paraId="20B5E71C" w14:textId="77777777" w:rsidR="000F16C4" w:rsidRPr="00196044" w:rsidRDefault="000F16C4" w:rsidP="000972AF">
            <w:pPr>
              <w:keepNext/>
              <w:spacing w:after="0"/>
              <w:jc w:val="right"/>
              <w:rPr>
                <w:szCs w:val="24"/>
                <w:lang w:val="en-US"/>
              </w:rPr>
            </w:pPr>
            <w:r>
              <w:rPr>
                <w:szCs w:val="24"/>
                <w:lang w:val="en-US"/>
              </w:rPr>
              <w:t>912</w:t>
            </w:r>
          </w:p>
        </w:tc>
        <w:tc>
          <w:tcPr>
            <w:tcW w:w="1063" w:type="dxa"/>
            <w:tcBorders>
              <w:top w:val="single" w:sz="4" w:space="0" w:color="auto"/>
            </w:tcBorders>
          </w:tcPr>
          <w:p w14:paraId="7D6FD0CB" w14:textId="77777777" w:rsidR="000F16C4" w:rsidRPr="00196044" w:rsidRDefault="000F16C4" w:rsidP="000972AF">
            <w:pPr>
              <w:keepNext/>
              <w:spacing w:after="0"/>
              <w:jc w:val="right"/>
              <w:rPr>
                <w:szCs w:val="24"/>
                <w:lang w:val="en-US"/>
              </w:rPr>
            </w:pPr>
            <w:r w:rsidRPr="00196044">
              <w:rPr>
                <w:szCs w:val="24"/>
                <w:lang w:val="en-US"/>
              </w:rPr>
              <w:t>28.4</w:t>
            </w:r>
          </w:p>
        </w:tc>
        <w:tc>
          <w:tcPr>
            <w:tcW w:w="1063" w:type="dxa"/>
            <w:tcBorders>
              <w:top w:val="single" w:sz="4" w:space="0" w:color="auto"/>
            </w:tcBorders>
          </w:tcPr>
          <w:p w14:paraId="45AA01B8" w14:textId="77777777" w:rsidR="000F16C4" w:rsidRPr="00196044" w:rsidRDefault="000F16C4" w:rsidP="000972AF">
            <w:pPr>
              <w:keepNext/>
              <w:spacing w:after="0"/>
              <w:jc w:val="right"/>
              <w:rPr>
                <w:szCs w:val="24"/>
                <w:lang w:val="en-US"/>
              </w:rPr>
            </w:pPr>
            <w:r w:rsidRPr="00196044">
              <w:rPr>
                <w:szCs w:val="24"/>
                <w:lang w:val="en-US"/>
              </w:rPr>
              <w:t>655</w:t>
            </w:r>
          </w:p>
        </w:tc>
        <w:tc>
          <w:tcPr>
            <w:tcW w:w="1063" w:type="dxa"/>
            <w:tcBorders>
              <w:top w:val="single" w:sz="4" w:space="0" w:color="auto"/>
            </w:tcBorders>
          </w:tcPr>
          <w:p w14:paraId="2610C0FE" w14:textId="77777777" w:rsidR="000F16C4" w:rsidRPr="00196044" w:rsidRDefault="000F16C4" w:rsidP="000972AF">
            <w:pPr>
              <w:keepNext/>
              <w:spacing w:after="0"/>
              <w:jc w:val="right"/>
              <w:rPr>
                <w:szCs w:val="24"/>
                <w:lang w:val="en-US"/>
              </w:rPr>
            </w:pPr>
            <w:r w:rsidRPr="00196044">
              <w:rPr>
                <w:szCs w:val="24"/>
                <w:lang w:val="en-US"/>
              </w:rPr>
              <w:t>20.7</w:t>
            </w:r>
          </w:p>
        </w:tc>
      </w:tr>
      <w:tr w:rsidR="000F16C4" w:rsidRPr="00196044" w14:paraId="0994360E" w14:textId="77777777" w:rsidTr="000972AF">
        <w:tc>
          <w:tcPr>
            <w:tcW w:w="4820" w:type="dxa"/>
          </w:tcPr>
          <w:p w14:paraId="0A921EF6" w14:textId="77777777" w:rsidR="000F16C4" w:rsidRPr="00196044" w:rsidRDefault="000F16C4" w:rsidP="000972AF">
            <w:pPr>
              <w:keepNext/>
              <w:spacing w:after="0"/>
              <w:rPr>
                <w:szCs w:val="24"/>
                <w:lang w:val="en-US"/>
              </w:rPr>
            </w:pPr>
            <w:r w:rsidRPr="00196044">
              <w:rPr>
                <w:szCs w:val="24"/>
                <w:lang w:val="en-US"/>
              </w:rPr>
              <w:t>20-49</w:t>
            </w:r>
          </w:p>
        </w:tc>
        <w:tc>
          <w:tcPr>
            <w:tcW w:w="1063" w:type="dxa"/>
          </w:tcPr>
          <w:p w14:paraId="22BA8C93" w14:textId="77777777" w:rsidR="000F16C4" w:rsidRPr="00196044" w:rsidRDefault="000F16C4" w:rsidP="000972AF">
            <w:pPr>
              <w:keepNext/>
              <w:spacing w:after="0"/>
              <w:jc w:val="right"/>
              <w:rPr>
                <w:szCs w:val="24"/>
                <w:lang w:val="en-US"/>
              </w:rPr>
            </w:pPr>
            <w:r w:rsidRPr="00196044">
              <w:rPr>
                <w:szCs w:val="24"/>
                <w:lang w:val="en-US"/>
              </w:rPr>
              <w:t>707</w:t>
            </w:r>
          </w:p>
        </w:tc>
        <w:tc>
          <w:tcPr>
            <w:tcW w:w="1063" w:type="dxa"/>
          </w:tcPr>
          <w:p w14:paraId="69AFA8A2" w14:textId="77777777" w:rsidR="000F16C4" w:rsidRPr="00196044" w:rsidRDefault="000F16C4" w:rsidP="000972AF">
            <w:pPr>
              <w:keepNext/>
              <w:spacing w:after="0"/>
              <w:jc w:val="right"/>
              <w:rPr>
                <w:szCs w:val="24"/>
                <w:lang w:val="en-US"/>
              </w:rPr>
            </w:pPr>
            <w:r w:rsidRPr="00196044">
              <w:rPr>
                <w:szCs w:val="24"/>
                <w:lang w:val="en-US"/>
              </w:rPr>
              <w:t>22.0</w:t>
            </w:r>
          </w:p>
        </w:tc>
        <w:tc>
          <w:tcPr>
            <w:tcW w:w="1063" w:type="dxa"/>
          </w:tcPr>
          <w:p w14:paraId="12E548C3" w14:textId="77777777" w:rsidR="000F16C4" w:rsidRPr="00196044" w:rsidRDefault="000F16C4" w:rsidP="000972AF">
            <w:pPr>
              <w:keepNext/>
              <w:spacing w:after="0"/>
              <w:jc w:val="right"/>
              <w:rPr>
                <w:szCs w:val="24"/>
                <w:lang w:val="en-US"/>
              </w:rPr>
            </w:pPr>
            <w:r w:rsidRPr="00196044">
              <w:rPr>
                <w:szCs w:val="24"/>
                <w:lang w:val="en-US"/>
              </w:rPr>
              <w:t>788</w:t>
            </w:r>
          </w:p>
        </w:tc>
        <w:tc>
          <w:tcPr>
            <w:tcW w:w="1063" w:type="dxa"/>
          </w:tcPr>
          <w:p w14:paraId="012528A0" w14:textId="77777777" w:rsidR="000F16C4" w:rsidRPr="00196044" w:rsidRDefault="000F16C4" w:rsidP="000972AF">
            <w:pPr>
              <w:keepNext/>
              <w:spacing w:after="0"/>
              <w:jc w:val="right"/>
              <w:rPr>
                <w:szCs w:val="24"/>
                <w:lang w:val="en-US"/>
              </w:rPr>
            </w:pPr>
            <w:r w:rsidRPr="00196044">
              <w:rPr>
                <w:szCs w:val="24"/>
                <w:lang w:val="en-US"/>
              </w:rPr>
              <w:t>24.9</w:t>
            </w:r>
          </w:p>
        </w:tc>
      </w:tr>
      <w:tr w:rsidR="000F16C4" w:rsidRPr="00196044" w14:paraId="3CA5D368" w14:textId="77777777" w:rsidTr="000972AF">
        <w:tc>
          <w:tcPr>
            <w:tcW w:w="4820" w:type="dxa"/>
          </w:tcPr>
          <w:p w14:paraId="15EA65D8" w14:textId="77777777" w:rsidR="000F16C4" w:rsidRPr="00196044" w:rsidRDefault="000F16C4" w:rsidP="000972AF">
            <w:pPr>
              <w:keepNext/>
              <w:spacing w:after="0"/>
              <w:rPr>
                <w:szCs w:val="24"/>
                <w:lang w:val="en-US"/>
              </w:rPr>
            </w:pPr>
            <w:r w:rsidRPr="00196044">
              <w:rPr>
                <w:szCs w:val="24"/>
                <w:lang w:val="en-US"/>
              </w:rPr>
              <w:t>50-99</w:t>
            </w:r>
          </w:p>
        </w:tc>
        <w:tc>
          <w:tcPr>
            <w:tcW w:w="1063" w:type="dxa"/>
          </w:tcPr>
          <w:p w14:paraId="5C51DBA2" w14:textId="77777777" w:rsidR="000F16C4" w:rsidRPr="00196044" w:rsidRDefault="000F16C4" w:rsidP="000972AF">
            <w:pPr>
              <w:keepNext/>
              <w:spacing w:after="0"/>
              <w:jc w:val="right"/>
              <w:rPr>
                <w:szCs w:val="24"/>
                <w:lang w:val="en-US"/>
              </w:rPr>
            </w:pPr>
            <w:r>
              <w:rPr>
                <w:szCs w:val="24"/>
                <w:lang w:val="en-US"/>
              </w:rPr>
              <w:t>706</w:t>
            </w:r>
          </w:p>
        </w:tc>
        <w:tc>
          <w:tcPr>
            <w:tcW w:w="1063" w:type="dxa"/>
          </w:tcPr>
          <w:p w14:paraId="4B63B4F9" w14:textId="77777777" w:rsidR="000F16C4" w:rsidRPr="00196044" w:rsidRDefault="000F16C4" w:rsidP="000972AF">
            <w:pPr>
              <w:keepNext/>
              <w:spacing w:after="0"/>
              <w:jc w:val="right"/>
              <w:rPr>
                <w:szCs w:val="24"/>
                <w:lang w:val="en-US"/>
              </w:rPr>
            </w:pPr>
            <w:r w:rsidRPr="00196044">
              <w:rPr>
                <w:szCs w:val="24"/>
                <w:lang w:val="en-US"/>
              </w:rPr>
              <w:t>22.0</w:t>
            </w:r>
          </w:p>
        </w:tc>
        <w:tc>
          <w:tcPr>
            <w:tcW w:w="1063" w:type="dxa"/>
          </w:tcPr>
          <w:p w14:paraId="4B2291D1" w14:textId="77777777" w:rsidR="000F16C4" w:rsidRPr="00196044" w:rsidRDefault="000F16C4" w:rsidP="000972AF">
            <w:pPr>
              <w:keepNext/>
              <w:spacing w:after="0"/>
              <w:jc w:val="right"/>
              <w:rPr>
                <w:szCs w:val="24"/>
                <w:lang w:val="en-US"/>
              </w:rPr>
            </w:pPr>
            <w:r w:rsidRPr="00196044">
              <w:rPr>
                <w:szCs w:val="24"/>
                <w:lang w:val="en-US"/>
              </w:rPr>
              <w:t>710</w:t>
            </w:r>
          </w:p>
        </w:tc>
        <w:tc>
          <w:tcPr>
            <w:tcW w:w="1063" w:type="dxa"/>
          </w:tcPr>
          <w:p w14:paraId="0840E535" w14:textId="77777777" w:rsidR="000F16C4" w:rsidRPr="00196044" w:rsidRDefault="000F16C4" w:rsidP="000972AF">
            <w:pPr>
              <w:keepNext/>
              <w:spacing w:after="0"/>
              <w:jc w:val="right"/>
              <w:rPr>
                <w:szCs w:val="24"/>
                <w:lang w:val="en-US"/>
              </w:rPr>
            </w:pPr>
            <w:r w:rsidRPr="00196044">
              <w:rPr>
                <w:szCs w:val="24"/>
                <w:lang w:val="en-US"/>
              </w:rPr>
              <w:t>22.4</w:t>
            </w:r>
          </w:p>
        </w:tc>
      </w:tr>
      <w:tr w:rsidR="000F16C4" w:rsidRPr="00196044" w14:paraId="7C5092B7" w14:textId="77777777" w:rsidTr="000972AF">
        <w:tc>
          <w:tcPr>
            <w:tcW w:w="4820" w:type="dxa"/>
          </w:tcPr>
          <w:p w14:paraId="40AC1C9D" w14:textId="77777777" w:rsidR="000F16C4" w:rsidRPr="00196044" w:rsidRDefault="000F16C4" w:rsidP="000972AF">
            <w:pPr>
              <w:keepNext/>
              <w:spacing w:after="0"/>
              <w:rPr>
                <w:szCs w:val="24"/>
                <w:lang w:val="en-US"/>
              </w:rPr>
            </w:pPr>
            <w:r w:rsidRPr="00196044">
              <w:rPr>
                <w:szCs w:val="24"/>
                <w:lang w:val="en-US"/>
              </w:rPr>
              <w:t>100-499</w:t>
            </w:r>
          </w:p>
        </w:tc>
        <w:tc>
          <w:tcPr>
            <w:tcW w:w="1063" w:type="dxa"/>
          </w:tcPr>
          <w:p w14:paraId="25D29917" w14:textId="77777777" w:rsidR="000F16C4" w:rsidRPr="00196044" w:rsidRDefault="000F16C4" w:rsidP="000972AF">
            <w:pPr>
              <w:keepNext/>
              <w:spacing w:after="0"/>
              <w:jc w:val="right"/>
              <w:rPr>
                <w:szCs w:val="24"/>
                <w:lang w:val="en-US"/>
              </w:rPr>
            </w:pPr>
            <w:r w:rsidRPr="00196044">
              <w:rPr>
                <w:szCs w:val="24"/>
                <w:lang w:val="en-US"/>
              </w:rPr>
              <w:t>732</w:t>
            </w:r>
          </w:p>
        </w:tc>
        <w:tc>
          <w:tcPr>
            <w:tcW w:w="1063" w:type="dxa"/>
          </w:tcPr>
          <w:p w14:paraId="1B47C9F8" w14:textId="77777777" w:rsidR="000F16C4" w:rsidRPr="00196044" w:rsidRDefault="000F16C4" w:rsidP="000972AF">
            <w:pPr>
              <w:keepNext/>
              <w:spacing w:after="0"/>
              <w:jc w:val="right"/>
              <w:rPr>
                <w:szCs w:val="24"/>
                <w:lang w:val="en-US"/>
              </w:rPr>
            </w:pPr>
            <w:r>
              <w:rPr>
                <w:szCs w:val="24"/>
                <w:lang w:val="en-US"/>
              </w:rPr>
              <w:t>22.8</w:t>
            </w:r>
          </w:p>
        </w:tc>
        <w:tc>
          <w:tcPr>
            <w:tcW w:w="1063" w:type="dxa"/>
          </w:tcPr>
          <w:p w14:paraId="2C1BF4EE" w14:textId="77777777" w:rsidR="000F16C4" w:rsidRPr="00196044" w:rsidRDefault="000F16C4" w:rsidP="000972AF">
            <w:pPr>
              <w:keepNext/>
              <w:spacing w:after="0"/>
              <w:jc w:val="right"/>
              <w:rPr>
                <w:szCs w:val="24"/>
                <w:lang w:val="en-US"/>
              </w:rPr>
            </w:pPr>
            <w:r w:rsidRPr="00196044">
              <w:rPr>
                <w:szCs w:val="24"/>
                <w:lang w:val="en-US"/>
              </w:rPr>
              <w:t>842</w:t>
            </w:r>
          </w:p>
        </w:tc>
        <w:tc>
          <w:tcPr>
            <w:tcW w:w="1063" w:type="dxa"/>
          </w:tcPr>
          <w:p w14:paraId="47900D07" w14:textId="77777777" w:rsidR="000F16C4" w:rsidRPr="00196044" w:rsidRDefault="000F16C4" w:rsidP="000972AF">
            <w:pPr>
              <w:keepNext/>
              <w:spacing w:after="0"/>
              <w:jc w:val="right"/>
              <w:rPr>
                <w:szCs w:val="24"/>
                <w:lang w:val="en-US"/>
              </w:rPr>
            </w:pPr>
            <w:r w:rsidRPr="00196044">
              <w:rPr>
                <w:szCs w:val="24"/>
                <w:lang w:val="en-US"/>
              </w:rPr>
              <w:t>26.6</w:t>
            </w:r>
          </w:p>
        </w:tc>
      </w:tr>
      <w:tr w:rsidR="000F16C4" w:rsidRPr="00196044" w14:paraId="7D0A3614" w14:textId="77777777" w:rsidTr="000972AF">
        <w:tc>
          <w:tcPr>
            <w:tcW w:w="4820" w:type="dxa"/>
          </w:tcPr>
          <w:p w14:paraId="3A197A21" w14:textId="77777777" w:rsidR="000F16C4" w:rsidRPr="00196044" w:rsidRDefault="000F16C4" w:rsidP="000972AF">
            <w:pPr>
              <w:keepNext/>
              <w:spacing w:after="0"/>
              <w:rPr>
                <w:szCs w:val="24"/>
                <w:lang w:val="en-US"/>
              </w:rPr>
            </w:pPr>
            <w:r w:rsidRPr="00196044">
              <w:rPr>
                <w:szCs w:val="24"/>
                <w:lang w:val="en-US"/>
              </w:rPr>
              <w:t>&gt;500</w:t>
            </w:r>
          </w:p>
        </w:tc>
        <w:tc>
          <w:tcPr>
            <w:tcW w:w="1063" w:type="dxa"/>
          </w:tcPr>
          <w:p w14:paraId="7E6F235E" w14:textId="77777777" w:rsidR="000F16C4" w:rsidRPr="00196044" w:rsidRDefault="000F16C4" w:rsidP="000972AF">
            <w:pPr>
              <w:keepNext/>
              <w:spacing w:after="0"/>
              <w:jc w:val="right"/>
              <w:rPr>
                <w:szCs w:val="24"/>
                <w:lang w:val="en-US"/>
              </w:rPr>
            </w:pPr>
            <w:r w:rsidRPr="00196044">
              <w:rPr>
                <w:szCs w:val="24"/>
                <w:lang w:val="en-US"/>
              </w:rPr>
              <w:t>159</w:t>
            </w:r>
          </w:p>
        </w:tc>
        <w:tc>
          <w:tcPr>
            <w:tcW w:w="1063" w:type="dxa"/>
          </w:tcPr>
          <w:p w14:paraId="08ACD61F" w14:textId="77777777" w:rsidR="000F16C4" w:rsidRPr="00196044" w:rsidRDefault="000F16C4" w:rsidP="000972AF">
            <w:pPr>
              <w:keepNext/>
              <w:spacing w:after="0"/>
              <w:jc w:val="right"/>
              <w:rPr>
                <w:szCs w:val="24"/>
                <w:lang w:val="en-US"/>
              </w:rPr>
            </w:pPr>
            <w:r w:rsidRPr="00196044">
              <w:rPr>
                <w:szCs w:val="24"/>
                <w:lang w:val="en-US"/>
              </w:rPr>
              <w:t>4.9</w:t>
            </w:r>
          </w:p>
        </w:tc>
        <w:tc>
          <w:tcPr>
            <w:tcW w:w="1063" w:type="dxa"/>
          </w:tcPr>
          <w:p w14:paraId="699F183C" w14:textId="77777777" w:rsidR="000F16C4" w:rsidRPr="00196044" w:rsidRDefault="000F16C4" w:rsidP="000972AF">
            <w:pPr>
              <w:keepNext/>
              <w:spacing w:after="0"/>
              <w:jc w:val="right"/>
              <w:rPr>
                <w:szCs w:val="24"/>
                <w:lang w:val="en-US"/>
              </w:rPr>
            </w:pPr>
            <w:r w:rsidRPr="00196044">
              <w:rPr>
                <w:szCs w:val="24"/>
                <w:lang w:val="en-US"/>
              </w:rPr>
              <w:t>171</w:t>
            </w:r>
          </w:p>
        </w:tc>
        <w:tc>
          <w:tcPr>
            <w:tcW w:w="1063" w:type="dxa"/>
          </w:tcPr>
          <w:p w14:paraId="17719FC0" w14:textId="77777777" w:rsidR="000F16C4" w:rsidRPr="00196044" w:rsidRDefault="000F16C4" w:rsidP="000972AF">
            <w:pPr>
              <w:keepNext/>
              <w:spacing w:after="0"/>
              <w:jc w:val="right"/>
              <w:rPr>
                <w:szCs w:val="24"/>
                <w:lang w:val="en-US"/>
              </w:rPr>
            </w:pPr>
            <w:r w:rsidRPr="00196044">
              <w:rPr>
                <w:szCs w:val="24"/>
                <w:lang w:val="en-US"/>
              </w:rPr>
              <w:t>5.4</w:t>
            </w:r>
          </w:p>
        </w:tc>
      </w:tr>
      <w:tr w:rsidR="000F16C4" w:rsidRPr="00196044" w14:paraId="483E7D3E" w14:textId="77777777" w:rsidTr="000972AF">
        <w:tc>
          <w:tcPr>
            <w:tcW w:w="4820" w:type="dxa"/>
            <w:tcBorders>
              <w:bottom w:val="single" w:sz="4" w:space="0" w:color="auto"/>
            </w:tcBorders>
          </w:tcPr>
          <w:p w14:paraId="0BC9995A" w14:textId="77777777" w:rsidR="000F16C4" w:rsidRPr="00196044" w:rsidRDefault="000F16C4" w:rsidP="000972AF">
            <w:pPr>
              <w:keepNext/>
              <w:spacing w:after="0"/>
              <w:rPr>
                <w:i/>
                <w:szCs w:val="24"/>
                <w:lang w:val="en-US"/>
              </w:rPr>
            </w:pPr>
          </w:p>
        </w:tc>
        <w:tc>
          <w:tcPr>
            <w:tcW w:w="1063" w:type="dxa"/>
            <w:tcBorders>
              <w:bottom w:val="single" w:sz="4" w:space="0" w:color="auto"/>
            </w:tcBorders>
          </w:tcPr>
          <w:p w14:paraId="500CBD61" w14:textId="77777777" w:rsidR="000F16C4" w:rsidRPr="00196044" w:rsidRDefault="000F16C4" w:rsidP="000972AF">
            <w:pPr>
              <w:keepNext/>
              <w:spacing w:after="0"/>
              <w:rPr>
                <w:i/>
                <w:szCs w:val="24"/>
                <w:lang w:val="en-US"/>
              </w:rPr>
            </w:pPr>
          </w:p>
        </w:tc>
        <w:tc>
          <w:tcPr>
            <w:tcW w:w="1063" w:type="dxa"/>
            <w:tcBorders>
              <w:bottom w:val="single" w:sz="4" w:space="0" w:color="auto"/>
            </w:tcBorders>
          </w:tcPr>
          <w:p w14:paraId="13CA081C" w14:textId="77777777" w:rsidR="000F16C4" w:rsidRPr="00196044" w:rsidRDefault="000F16C4" w:rsidP="000972AF">
            <w:pPr>
              <w:keepNext/>
              <w:spacing w:after="0"/>
              <w:rPr>
                <w:i/>
                <w:szCs w:val="24"/>
                <w:lang w:val="en-US"/>
              </w:rPr>
            </w:pPr>
          </w:p>
        </w:tc>
        <w:tc>
          <w:tcPr>
            <w:tcW w:w="1063" w:type="dxa"/>
            <w:tcBorders>
              <w:bottom w:val="single" w:sz="4" w:space="0" w:color="auto"/>
            </w:tcBorders>
          </w:tcPr>
          <w:p w14:paraId="48A5D3CB" w14:textId="77777777" w:rsidR="000F16C4" w:rsidRPr="00196044" w:rsidRDefault="000F16C4" w:rsidP="000972AF">
            <w:pPr>
              <w:keepNext/>
              <w:spacing w:after="0"/>
              <w:rPr>
                <w:i/>
                <w:szCs w:val="24"/>
                <w:lang w:val="en-US"/>
              </w:rPr>
            </w:pPr>
          </w:p>
        </w:tc>
        <w:tc>
          <w:tcPr>
            <w:tcW w:w="1063" w:type="dxa"/>
            <w:tcBorders>
              <w:bottom w:val="single" w:sz="4" w:space="0" w:color="auto"/>
            </w:tcBorders>
          </w:tcPr>
          <w:p w14:paraId="1CBAE060" w14:textId="77777777" w:rsidR="000F16C4" w:rsidRPr="00196044" w:rsidRDefault="000F16C4" w:rsidP="000972AF">
            <w:pPr>
              <w:keepNext/>
              <w:spacing w:after="0"/>
              <w:rPr>
                <w:i/>
                <w:szCs w:val="24"/>
                <w:lang w:val="en-US"/>
              </w:rPr>
            </w:pPr>
          </w:p>
        </w:tc>
      </w:tr>
      <w:tr w:rsidR="000F16C4" w:rsidRPr="00196044" w14:paraId="6A4FA51D" w14:textId="77777777" w:rsidTr="000972AF">
        <w:tc>
          <w:tcPr>
            <w:tcW w:w="4820" w:type="dxa"/>
            <w:tcBorders>
              <w:top w:val="single" w:sz="4" w:space="0" w:color="auto"/>
              <w:bottom w:val="single" w:sz="4" w:space="0" w:color="auto"/>
            </w:tcBorders>
          </w:tcPr>
          <w:p w14:paraId="2057A079" w14:textId="77777777" w:rsidR="000F16C4" w:rsidRPr="00196044" w:rsidRDefault="000F16C4" w:rsidP="000972AF">
            <w:pPr>
              <w:keepNext/>
              <w:spacing w:after="0"/>
              <w:rPr>
                <w:i/>
                <w:szCs w:val="24"/>
                <w:lang w:val="en-US"/>
              </w:rPr>
            </w:pPr>
            <w:r w:rsidRPr="00196044">
              <w:rPr>
                <w:i/>
                <w:szCs w:val="24"/>
                <w:lang w:val="en-US"/>
              </w:rPr>
              <w:t>R&amp;D expenditure</w:t>
            </w:r>
          </w:p>
        </w:tc>
        <w:tc>
          <w:tcPr>
            <w:tcW w:w="1063" w:type="dxa"/>
            <w:tcBorders>
              <w:top w:val="single" w:sz="4" w:space="0" w:color="auto"/>
              <w:bottom w:val="single" w:sz="4" w:space="0" w:color="auto"/>
            </w:tcBorders>
          </w:tcPr>
          <w:p w14:paraId="5CB3F97A" w14:textId="77777777" w:rsidR="000F16C4" w:rsidRPr="00196044" w:rsidRDefault="000F16C4" w:rsidP="000972AF">
            <w:pPr>
              <w:keepNext/>
              <w:spacing w:after="0"/>
              <w:jc w:val="center"/>
              <w:rPr>
                <w:i/>
                <w:szCs w:val="24"/>
                <w:lang w:val="en-US"/>
              </w:rPr>
            </w:pPr>
            <w:r w:rsidRPr="00196044">
              <w:rPr>
                <w:i/>
                <w:szCs w:val="24"/>
                <w:lang w:val="en-US"/>
              </w:rPr>
              <w:t>N</w:t>
            </w:r>
          </w:p>
        </w:tc>
        <w:tc>
          <w:tcPr>
            <w:tcW w:w="1063" w:type="dxa"/>
            <w:tcBorders>
              <w:top w:val="single" w:sz="4" w:space="0" w:color="auto"/>
              <w:bottom w:val="single" w:sz="4" w:space="0" w:color="auto"/>
            </w:tcBorders>
          </w:tcPr>
          <w:p w14:paraId="7F76AE02" w14:textId="77777777" w:rsidR="000F16C4" w:rsidRPr="00196044" w:rsidRDefault="000F16C4" w:rsidP="000972AF">
            <w:pPr>
              <w:keepNext/>
              <w:spacing w:after="0"/>
              <w:jc w:val="center"/>
              <w:rPr>
                <w:i/>
                <w:szCs w:val="24"/>
                <w:lang w:val="en-US"/>
              </w:rPr>
            </w:pPr>
            <w:r w:rsidRPr="00196044">
              <w:rPr>
                <w:i/>
                <w:szCs w:val="24"/>
                <w:lang w:val="en-US"/>
              </w:rPr>
              <w:t>Percent</w:t>
            </w:r>
          </w:p>
        </w:tc>
        <w:tc>
          <w:tcPr>
            <w:tcW w:w="1063" w:type="dxa"/>
            <w:tcBorders>
              <w:top w:val="single" w:sz="4" w:space="0" w:color="auto"/>
              <w:bottom w:val="single" w:sz="4" w:space="0" w:color="auto"/>
            </w:tcBorders>
          </w:tcPr>
          <w:p w14:paraId="06FE8A20" w14:textId="77777777" w:rsidR="000F16C4" w:rsidRPr="00196044" w:rsidRDefault="000F16C4" w:rsidP="000972AF">
            <w:pPr>
              <w:keepNext/>
              <w:spacing w:after="0"/>
              <w:jc w:val="center"/>
              <w:rPr>
                <w:i/>
                <w:szCs w:val="24"/>
                <w:lang w:val="en-US"/>
              </w:rPr>
            </w:pPr>
            <w:r w:rsidRPr="00196044">
              <w:rPr>
                <w:i/>
                <w:szCs w:val="24"/>
                <w:lang w:val="en-US"/>
              </w:rPr>
              <w:t>N</w:t>
            </w:r>
          </w:p>
        </w:tc>
        <w:tc>
          <w:tcPr>
            <w:tcW w:w="1063" w:type="dxa"/>
            <w:tcBorders>
              <w:top w:val="single" w:sz="4" w:space="0" w:color="auto"/>
              <w:bottom w:val="single" w:sz="4" w:space="0" w:color="auto"/>
            </w:tcBorders>
          </w:tcPr>
          <w:p w14:paraId="6E05A9CA" w14:textId="77777777" w:rsidR="000F16C4" w:rsidRPr="00196044" w:rsidRDefault="000F16C4" w:rsidP="000972AF">
            <w:pPr>
              <w:keepNext/>
              <w:spacing w:after="0"/>
              <w:jc w:val="center"/>
              <w:rPr>
                <w:i/>
                <w:szCs w:val="24"/>
                <w:lang w:val="en-US"/>
              </w:rPr>
            </w:pPr>
            <w:r w:rsidRPr="00196044">
              <w:rPr>
                <w:i/>
                <w:szCs w:val="24"/>
                <w:lang w:val="en-US"/>
              </w:rPr>
              <w:t>Percent</w:t>
            </w:r>
          </w:p>
        </w:tc>
      </w:tr>
      <w:tr w:rsidR="000F16C4" w:rsidRPr="00196044" w14:paraId="68044B6E" w14:textId="77777777" w:rsidTr="000972AF">
        <w:tc>
          <w:tcPr>
            <w:tcW w:w="4820" w:type="dxa"/>
            <w:tcBorders>
              <w:top w:val="single" w:sz="4" w:space="0" w:color="auto"/>
            </w:tcBorders>
          </w:tcPr>
          <w:p w14:paraId="0C7E37C2" w14:textId="77777777" w:rsidR="000F16C4" w:rsidRPr="00196044" w:rsidRDefault="000F16C4" w:rsidP="000972AF">
            <w:pPr>
              <w:keepNext/>
              <w:spacing w:after="0"/>
              <w:rPr>
                <w:szCs w:val="24"/>
                <w:lang w:val="en-US"/>
              </w:rPr>
            </w:pPr>
            <w:r>
              <w:rPr>
                <w:szCs w:val="24"/>
                <w:lang w:val="en-US"/>
              </w:rPr>
              <w:t>None</w:t>
            </w:r>
          </w:p>
        </w:tc>
        <w:tc>
          <w:tcPr>
            <w:tcW w:w="1063" w:type="dxa"/>
            <w:tcBorders>
              <w:top w:val="single" w:sz="4" w:space="0" w:color="auto"/>
            </w:tcBorders>
          </w:tcPr>
          <w:p w14:paraId="612DC85E" w14:textId="77777777" w:rsidR="000F16C4" w:rsidRPr="00196044" w:rsidRDefault="000F16C4" w:rsidP="000972AF">
            <w:pPr>
              <w:keepNext/>
              <w:spacing w:after="0"/>
              <w:jc w:val="right"/>
              <w:rPr>
                <w:szCs w:val="24"/>
                <w:lang w:val="en-US"/>
              </w:rPr>
            </w:pPr>
            <w:r>
              <w:rPr>
                <w:szCs w:val="24"/>
                <w:lang w:val="en-US"/>
              </w:rPr>
              <w:t>2092</w:t>
            </w:r>
          </w:p>
        </w:tc>
        <w:tc>
          <w:tcPr>
            <w:tcW w:w="1063" w:type="dxa"/>
            <w:tcBorders>
              <w:top w:val="single" w:sz="4" w:space="0" w:color="auto"/>
            </w:tcBorders>
          </w:tcPr>
          <w:p w14:paraId="346CB583" w14:textId="77777777" w:rsidR="000F16C4" w:rsidRPr="00196044" w:rsidRDefault="000F16C4" w:rsidP="000972AF">
            <w:pPr>
              <w:keepNext/>
              <w:spacing w:after="0"/>
              <w:jc w:val="right"/>
              <w:rPr>
                <w:szCs w:val="24"/>
                <w:lang w:val="en-US"/>
              </w:rPr>
            </w:pPr>
            <w:r>
              <w:rPr>
                <w:szCs w:val="24"/>
                <w:lang w:val="en-US"/>
              </w:rPr>
              <w:t>65.1</w:t>
            </w:r>
          </w:p>
        </w:tc>
        <w:tc>
          <w:tcPr>
            <w:tcW w:w="1063" w:type="dxa"/>
            <w:tcBorders>
              <w:top w:val="single" w:sz="4" w:space="0" w:color="auto"/>
            </w:tcBorders>
          </w:tcPr>
          <w:p w14:paraId="497C23A1" w14:textId="77777777" w:rsidR="000F16C4" w:rsidRPr="00196044" w:rsidRDefault="000F16C4" w:rsidP="000972AF">
            <w:pPr>
              <w:keepNext/>
              <w:spacing w:after="0"/>
              <w:jc w:val="right"/>
              <w:rPr>
                <w:szCs w:val="24"/>
                <w:lang w:val="en-US"/>
              </w:rPr>
            </w:pPr>
            <w:r w:rsidRPr="00196044">
              <w:rPr>
                <w:szCs w:val="24"/>
                <w:lang w:val="en-US"/>
              </w:rPr>
              <w:t>2016</w:t>
            </w:r>
          </w:p>
        </w:tc>
        <w:tc>
          <w:tcPr>
            <w:tcW w:w="1063" w:type="dxa"/>
            <w:tcBorders>
              <w:top w:val="single" w:sz="4" w:space="0" w:color="auto"/>
            </w:tcBorders>
          </w:tcPr>
          <w:p w14:paraId="3A6FA471" w14:textId="77777777" w:rsidR="000F16C4" w:rsidRPr="00196044" w:rsidRDefault="000F16C4" w:rsidP="000972AF">
            <w:pPr>
              <w:keepNext/>
              <w:spacing w:after="0"/>
              <w:jc w:val="right"/>
              <w:rPr>
                <w:szCs w:val="24"/>
                <w:lang w:val="en-US"/>
              </w:rPr>
            </w:pPr>
            <w:r w:rsidRPr="00196044">
              <w:rPr>
                <w:szCs w:val="24"/>
                <w:lang w:val="en-US"/>
              </w:rPr>
              <w:t>63.7</w:t>
            </w:r>
          </w:p>
        </w:tc>
      </w:tr>
      <w:tr w:rsidR="000F16C4" w:rsidRPr="00196044" w14:paraId="4C4A7686" w14:textId="77777777" w:rsidTr="000972AF">
        <w:tc>
          <w:tcPr>
            <w:tcW w:w="4820" w:type="dxa"/>
          </w:tcPr>
          <w:p w14:paraId="07CEA6A3" w14:textId="77777777" w:rsidR="000F16C4" w:rsidRPr="00196044" w:rsidRDefault="000F16C4" w:rsidP="000972AF">
            <w:pPr>
              <w:keepNext/>
              <w:spacing w:after="0"/>
              <w:rPr>
                <w:szCs w:val="24"/>
                <w:lang w:val="en-US"/>
              </w:rPr>
            </w:pPr>
            <w:r>
              <w:rPr>
                <w:szCs w:val="24"/>
                <w:lang w:val="en-US"/>
              </w:rPr>
              <w:t xml:space="preserve">Less than NOK </w:t>
            </w:r>
            <w:r w:rsidRPr="00196044">
              <w:rPr>
                <w:szCs w:val="24"/>
                <w:lang w:val="en-US"/>
              </w:rPr>
              <w:t>1</w:t>
            </w:r>
            <w:r>
              <w:rPr>
                <w:szCs w:val="24"/>
                <w:lang w:val="en-US"/>
              </w:rPr>
              <w:t xml:space="preserve"> million</w:t>
            </w:r>
          </w:p>
        </w:tc>
        <w:tc>
          <w:tcPr>
            <w:tcW w:w="1063" w:type="dxa"/>
          </w:tcPr>
          <w:p w14:paraId="1DDB6F5E" w14:textId="77777777" w:rsidR="000F16C4" w:rsidRPr="00196044" w:rsidRDefault="000F16C4" w:rsidP="000972AF">
            <w:pPr>
              <w:keepNext/>
              <w:spacing w:after="0"/>
              <w:jc w:val="right"/>
              <w:rPr>
                <w:szCs w:val="24"/>
                <w:lang w:val="en-US"/>
              </w:rPr>
            </w:pPr>
            <w:r>
              <w:rPr>
                <w:szCs w:val="24"/>
                <w:lang w:val="en-US"/>
              </w:rPr>
              <w:t>244</w:t>
            </w:r>
          </w:p>
        </w:tc>
        <w:tc>
          <w:tcPr>
            <w:tcW w:w="1063" w:type="dxa"/>
          </w:tcPr>
          <w:p w14:paraId="064C2CD0" w14:textId="77777777" w:rsidR="000F16C4" w:rsidRPr="00196044" w:rsidRDefault="000F16C4" w:rsidP="000972AF">
            <w:pPr>
              <w:keepNext/>
              <w:spacing w:after="0"/>
              <w:jc w:val="right"/>
              <w:rPr>
                <w:szCs w:val="24"/>
                <w:lang w:val="en-US"/>
              </w:rPr>
            </w:pPr>
            <w:r w:rsidRPr="00196044">
              <w:rPr>
                <w:szCs w:val="24"/>
                <w:lang w:val="en-US"/>
              </w:rPr>
              <w:t>7.6</w:t>
            </w:r>
          </w:p>
        </w:tc>
        <w:tc>
          <w:tcPr>
            <w:tcW w:w="1063" w:type="dxa"/>
          </w:tcPr>
          <w:p w14:paraId="335FDBDD" w14:textId="77777777" w:rsidR="000F16C4" w:rsidRPr="00196044" w:rsidRDefault="000F16C4" w:rsidP="000972AF">
            <w:pPr>
              <w:keepNext/>
              <w:spacing w:after="0"/>
              <w:jc w:val="right"/>
              <w:rPr>
                <w:szCs w:val="24"/>
                <w:lang w:val="en-US"/>
              </w:rPr>
            </w:pPr>
            <w:r w:rsidRPr="00196044">
              <w:rPr>
                <w:szCs w:val="24"/>
                <w:lang w:val="en-US"/>
              </w:rPr>
              <w:t>217</w:t>
            </w:r>
          </w:p>
        </w:tc>
        <w:tc>
          <w:tcPr>
            <w:tcW w:w="1063" w:type="dxa"/>
          </w:tcPr>
          <w:p w14:paraId="7F827EE1" w14:textId="77777777" w:rsidR="000F16C4" w:rsidRPr="00196044" w:rsidRDefault="000F16C4" w:rsidP="000972AF">
            <w:pPr>
              <w:keepNext/>
              <w:spacing w:after="0"/>
              <w:jc w:val="right"/>
              <w:rPr>
                <w:szCs w:val="24"/>
                <w:lang w:val="en-US"/>
              </w:rPr>
            </w:pPr>
            <w:r w:rsidRPr="00196044">
              <w:rPr>
                <w:szCs w:val="24"/>
                <w:lang w:val="en-US"/>
              </w:rPr>
              <w:t>6.9</w:t>
            </w:r>
          </w:p>
        </w:tc>
      </w:tr>
      <w:tr w:rsidR="000F16C4" w:rsidRPr="00196044" w14:paraId="069BD57E" w14:textId="77777777" w:rsidTr="000972AF">
        <w:tc>
          <w:tcPr>
            <w:tcW w:w="4820" w:type="dxa"/>
          </w:tcPr>
          <w:p w14:paraId="5FB1C506" w14:textId="77777777" w:rsidR="000F16C4" w:rsidRPr="00196044" w:rsidRDefault="000F16C4" w:rsidP="000972AF">
            <w:pPr>
              <w:keepNext/>
              <w:spacing w:after="0"/>
              <w:rPr>
                <w:szCs w:val="24"/>
                <w:lang w:val="en-US"/>
              </w:rPr>
            </w:pPr>
            <w:r>
              <w:rPr>
                <w:szCs w:val="24"/>
                <w:lang w:val="en-US"/>
              </w:rPr>
              <w:t>NOK 1 – 10 million</w:t>
            </w:r>
          </w:p>
        </w:tc>
        <w:tc>
          <w:tcPr>
            <w:tcW w:w="1063" w:type="dxa"/>
          </w:tcPr>
          <w:p w14:paraId="41E068EC" w14:textId="77777777" w:rsidR="000F16C4" w:rsidRPr="00196044" w:rsidRDefault="000F16C4" w:rsidP="000972AF">
            <w:pPr>
              <w:keepNext/>
              <w:spacing w:after="0"/>
              <w:jc w:val="right"/>
              <w:rPr>
                <w:szCs w:val="24"/>
                <w:lang w:val="en-US"/>
              </w:rPr>
            </w:pPr>
            <w:r>
              <w:rPr>
                <w:szCs w:val="24"/>
                <w:lang w:val="en-US"/>
              </w:rPr>
              <w:t>678</w:t>
            </w:r>
          </w:p>
        </w:tc>
        <w:tc>
          <w:tcPr>
            <w:tcW w:w="1063" w:type="dxa"/>
          </w:tcPr>
          <w:p w14:paraId="5925F53B" w14:textId="77777777" w:rsidR="000F16C4" w:rsidRPr="00196044" w:rsidRDefault="000F16C4" w:rsidP="000972AF">
            <w:pPr>
              <w:keepNext/>
              <w:spacing w:after="0"/>
              <w:jc w:val="right"/>
              <w:rPr>
                <w:szCs w:val="24"/>
                <w:lang w:val="en-US"/>
              </w:rPr>
            </w:pPr>
            <w:r w:rsidRPr="00196044">
              <w:rPr>
                <w:szCs w:val="24"/>
                <w:lang w:val="en-US"/>
              </w:rPr>
              <w:t>21.1</w:t>
            </w:r>
          </w:p>
        </w:tc>
        <w:tc>
          <w:tcPr>
            <w:tcW w:w="1063" w:type="dxa"/>
          </w:tcPr>
          <w:p w14:paraId="203DCDEC" w14:textId="77777777" w:rsidR="000F16C4" w:rsidRPr="00196044" w:rsidRDefault="000F16C4" w:rsidP="000972AF">
            <w:pPr>
              <w:keepNext/>
              <w:spacing w:after="0"/>
              <w:jc w:val="right"/>
              <w:rPr>
                <w:szCs w:val="24"/>
                <w:lang w:val="en-US"/>
              </w:rPr>
            </w:pPr>
            <w:r w:rsidRPr="00196044">
              <w:rPr>
                <w:szCs w:val="24"/>
                <w:lang w:val="en-US"/>
              </w:rPr>
              <w:t>701</w:t>
            </w:r>
          </w:p>
        </w:tc>
        <w:tc>
          <w:tcPr>
            <w:tcW w:w="1063" w:type="dxa"/>
          </w:tcPr>
          <w:p w14:paraId="7E11A960" w14:textId="77777777" w:rsidR="000F16C4" w:rsidRPr="00196044" w:rsidRDefault="000F16C4" w:rsidP="000972AF">
            <w:pPr>
              <w:keepNext/>
              <w:spacing w:after="0"/>
              <w:jc w:val="right"/>
              <w:rPr>
                <w:szCs w:val="24"/>
                <w:lang w:val="en-US"/>
              </w:rPr>
            </w:pPr>
            <w:r w:rsidRPr="00196044">
              <w:rPr>
                <w:szCs w:val="24"/>
                <w:lang w:val="en-US"/>
              </w:rPr>
              <w:t>22.1</w:t>
            </w:r>
          </w:p>
        </w:tc>
      </w:tr>
      <w:tr w:rsidR="000F16C4" w:rsidRPr="00196044" w14:paraId="664CB3A8" w14:textId="77777777" w:rsidTr="000972AF">
        <w:tc>
          <w:tcPr>
            <w:tcW w:w="4820" w:type="dxa"/>
          </w:tcPr>
          <w:p w14:paraId="235A01F1" w14:textId="77777777" w:rsidR="000F16C4" w:rsidRPr="00196044" w:rsidRDefault="000F16C4" w:rsidP="000972AF">
            <w:pPr>
              <w:keepNext/>
              <w:spacing w:after="0"/>
              <w:rPr>
                <w:szCs w:val="24"/>
                <w:lang w:val="en-US"/>
              </w:rPr>
            </w:pPr>
            <w:r>
              <w:rPr>
                <w:szCs w:val="24"/>
                <w:lang w:val="en-US"/>
              </w:rPr>
              <w:t>More than NOK 10 million</w:t>
            </w:r>
          </w:p>
        </w:tc>
        <w:tc>
          <w:tcPr>
            <w:tcW w:w="1063" w:type="dxa"/>
          </w:tcPr>
          <w:p w14:paraId="4F0932BF" w14:textId="77777777" w:rsidR="000F16C4" w:rsidRPr="00196044" w:rsidRDefault="000F16C4" w:rsidP="000972AF">
            <w:pPr>
              <w:keepNext/>
              <w:spacing w:after="0"/>
              <w:jc w:val="right"/>
              <w:rPr>
                <w:szCs w:val="24"/>
                <w:lang w:val="en-US"/>
              </w:rPr>
            </w:pPr>
            <w:r w:rsidRPr="00196044">
              <w:rPr>
                <w:szCs w:val="24"/>
                <w:lang w:val="en-US"/>
              </w:rPr>
              <w:t>202</w:t>
            </w:r>
          </w:p>
        </w:tc>
        <w:tc>
          <w:tcPr>
            <w:tcW w:w="1063" w:type="dxa"/>
          </w:tcPr>
          <w:p w14:paraId="2EECAC12" w14:textId="77777777" w:rsidR="000F16C4" w:rsidRPr="00196044" w:rsidRDefault="000F16C4" w:rsidP="000972AF">
            <w:pPr>
              <w:keepNext/>
              <w:spacing w:after="0"/>
              <w:jc w:val="right"/>
              <w:rPr>
                <w:szCs w:val="24"/>
                <w:lang w:val="en-US"/>
              </w:rPr>
            </w:pPr>
            <w:r w:rsidRPr="00196044">
              <w:rPr>
                <w:szCs w:val="24"/>
                <w:lang w:val="en-US"/>
              </w:rPr>
              <w:t>6.3</w:t>
            </w:r>
          </w:p>
        </w:tc>
        <w:tc>
          <w:tcPr>
            <w:tcW w:w="1063" w:type="dxa"/>
          </w:tcPr>
          <w:p w14:paraId="4891EA7B" w14:textId="77777777" w:rsidR="000F16C4" w:rsidRPr="00196044" w:rsidRDefault="000F16C4" w:rsidP="000972AF">
            <w:pPr>
              <w:keepNext/>
              <w:spacing w:after="0"/>
              <w:jc w:val="right"/>
              <w:rPr>
                <w:szCs w:val="24"/>
                <w:lang w:val="en-US"/>
              </w:rPr>
            </w:pPr>
            <w:r w:rsidRPr="00196044">
              <w:rPr>
                <w:szCs w:val="24"/>
                <w:lang w:val="en-US"/>
              </w:rPr>
              <w:t>232</w:t>
            </w:r>
          </w:p>
        </w:tc>
        <w:tc>
          <w:tcPr>
            <w:tcW w:w="1063" w:type="dxa"/>
          </w:tcPr>
          <w:p w14:paraId="20DD5683" w14:textId="77777777" w:rsidR="000F16C4" w:rsidRPr="00196044" w:rsidRDefault="000F16C4" w:rsidP="000972AF">
            <w:pPr>
              <w:keepNext/>
              <w:spacing w:after="0"/>
              <w:jc w:val="right"/>
              <w:rPr>
                <w:szCs w:val="24"/>
                <w:lang w:val="en-US"/>
              </w:rPr>
            </w:pPr>
            <w:r w:rsidRPr="00196044">
              <w:rPr>
                <w:szCs w:val="24"/>
                <w:lang w:val="en-US"/>
              </w:rPr>
              <w:t>7.33</w:t>
            </w:r>
          </w:p>
        </w:tc>
      </w:tr>
      <w:tr w:rsidR="000F16C4" w:rsidRPr="00196044" w14:paraId="78E2B817" w14:textId="77777777" w:rsidTr="000972AF">
        <w:tc>
          <w:tcPr>
            <w:tcW w:w="4820" w:type="dxa"/>
            <w:tcBorders>
              <w:bottom w:val="single" w:sz="4" w:space="0" w:color="auto"/>
            </w:tcBorders>
          </w:tcPr>
          <w:p w14:paraId="27952C98" w14:textId="77777777" w:rsidR="000F16C4" w:rsidRPr="00196044" w:rsidRDefault="000F16C4" w:rsidP="000972AF">
            <w:pPr>
              <w:keepNext/>
              <w:spacing w:after="0"/>
              <w:rPr>
                <w:i/>
                <w:szCs w:val="24"/>
                <w:lang w:val="en-US"/>
              </w:rPr>
            </w:pPr>
          </w:p>
        </w:tc>
        <w:tc>
          <w:tcPr>
            <w:tcW w:w="1063" w:type="dxa"/>
            <w:tcBorders>
              <w:bottom w:val="single" w:sz="4" w:space="0" w:color="auto"/>
            </w:tcBorders>
          </w:tcPr>
          <w:p w14:paraId="20DC80AA" w14:textId="77777777" w:rsidR="000F16C4" w:rsidRPr="00196044" w:rsidRDefault="000F16C4" w:rsidP="000972AF">
            <w:pPr>
              <w:keepNext/>
              <w:spacing w:after="0"/>
              <w:jc w:val="right"/>
              <w:rPr>
                <w:i/>
                <w:szCs w:val="24"/>
                <w:lang w:val="en-US"/>
              </w:rPr>
            </w:pPr>
          </w:p>
        </w:tc>
        <w:tc>
          <w:tcPr>
            <w:tcW w:w="1063" w:type="dxa"/>
            <w:tcBorders>
              <w:bottom w:val="single" w:sz="4" w:space="0" w:color="auto"/>
            </w:tcBorders>
          </w:tcPr>
          <w:p w14:paraId="4640AB23" w14:textId="77777777" w:rsidR="000F16C4" w:rsidRPr="00196044" w:rsidRDefault="000F16C4" w:rsidP="000972AF">
            <w:pPr>
              <w:keepNext/>
              <w:spacing w:after="0"/>
              <w:jc w:val="right"/>
              <w:rPr>
                <w:i/>
                <w:szCs w:val="24"/>
                <w:lang w:val="en-US"/>
              </w:rPr>
            </w:pPr>
          </w:p>
        </w:tc>
        <w:tc>
          <w:tcPr>
            <w:tcW w:w="1063" w:type="dxa"/>
            <w:tcBorders>
              <w:bottom w:val="single" w:sz="4" w:space="0" w:color="auto"/>
            </w:tcBorders>
          </w:tcPr>
          <w:p w14:paraId="39F22C17" w14:textId="77777777" w:rsidR="000F16C4" w:rsidRPr="00196044" w:rsidRDefault="000F16C4" w:rsidP="000972AF">
            <w:pPr>
              <w:keepNext/>
              <w:spacing w:after="0"/>
              <w:jc w:val="right"/>
              <w:rPr>
                <w:i/>
                <w:szCs w:val="24"/>
                <w:lang w:val="en-US"/>
              </w:rPr>
            </w:pPr>
          </w:p>
        </w:tc>
        <w:tc>
          <w:tcPr>
            <w:tcW w:w="1063" w:type="dxa"/>
            <w:tcBorders>
              <w:bottom w:val="single" w:sz="4" w:space="0" w:color="auto"/>
            </w:tcBorders>
          </w:tcPr>
          <w:p w14:paraId="1A92480C" w14:textId="77777777" w:rsidR="000F16C4" w:rsidRPr="00196044" w:rsidRDefault="000F16C4" w:rsidP="000972AF">
            <w:pPr>
              <w:keepNext/>
              <w:spacing w:after="0"/>
              <w:jc w:val="right"/>
              <w:rPr>
                <w:i/>
                <w:szCs w:val="24"/>
                <w:lang w:val="en-US"/>
              </w:rPr>
            </w:pPr>
          </w:p>
        </w:tc>
      </w:tr>
      <w:tr w:rsidR="000F16C4" w:rsidRPr="00196044" w14:paraId="1448B8AF" w14:textId="77777777" w:rsidTr="000972AF">
        <w:tc>
          <w:tcPr>
            <w:tcW w:w="4820" w:type="dxa"/>
            <w:tcBorders>
              <w:top w:val="single" w:sz="4" w:space="0" w:color="auto"/>
              <w:bottom w:val="single" w:sz="4" w:space="0" w:color="auto"/>
            </w:tcBorders>
          </w:tcPr>
          <w:p w14:paraId="2CBD525A" w14:textId="77777777" w:rsidR="000F16C4" w:rsidRPr="00196044" w:rsidRDefault="000F16C4" w:rsidP="000972AF">
            <w:pPr>
              <w:keepNext/>
              <w:spacing w:after="0"/>
              <w:rPr>
                <w:i/>
                <w:szCs w:val="24"/>
                <w:lang w:val="en-US"/>
              </w:rPr>
            </w:pPr>
            <w:r w:rsidRPr="00196044">
              <w:rPr>
                <w:i/>
                <w:szCs w:val="24"/>
                <w:lang w:val="en-US"/>
              </w:rPr>
              <w:t>% of educated employees</w:t>
            </w:r>
          </w:p>
        </w:tc>
        <w:tc>
          <w:tcPr>
            <w:tcW w:w="1063" w:type="dxa"/>
            <w:tcBorders>
              <w:top w:val="single" w:sz="4" w:space="0" w:color="auto"/>
              <w:bottom w:val="single" w:sz="4" w:space="0" w:color="auto"/>
            </w:tcBorders>
          </w:tcPr>
          <w:p w14:paraId="760D143E" w14:textId="77777777" w:rsidR="000F16C4" w:rsidRPr="00196044" w:rsidRDefault="000F16C4" w:rsidP="000972AF">
            <w:pPr>
              <w:keepNext/>
              <w:spacing w:after="0"/>
              <w:jc w:val="center"/>
              <w:rPr>
                <w:i/>
                <w:szCs w:val="24"/>
                <w:lang w:val="en-US"/>
              </w:rPr>
            </w:pPr>
            <w:r w:rsidRPr="00196044">
              <w:rPr>
                <w:i/>
                <w:szCs w:val="24"/>
                <w:lang w:val="en-US"/>
              </w:rPr>
              <w:t>N</w:t>
            </w:r>
          </w:p>
        </w:tc>
        <w:tc>
          <w:tcPr>
            <w:tcW w:w="1063" w:type="dxa"/>
            <w:tcBorders>
              <w:top w:val="single" w:sz="4" w:space="0" w:color="auto"/>
              <w:bottom w:val="single" w:sz="4" w:space="0" w:color="auto"/>
            </w:tcBorders>
          </w:tcPr>
          <w:p w14:paraId="6ECE8EA6" w14:textId="77777777" w:rsidR="000F16C4" w:rsidRPr="00196044" w:rsidRDefault="000F16C4" w:rsidP="000972AF">
            <w:pPr>
              <w:keepNext/>
              <w:spacing w:after="0"/>
              <w:jc w:val="center"/>
              <w:rPr>
                <w:i/>
                <w:szCs w:val="24"/>
                <w:lang w:val="en-US"/>
              </w:rPr>
            </w:pPr>
            <w:r w:rsidRPr="00196044">
              <w:rPr>
                <w:i/>
                <w:szCs w:val="24"/>
                <w:lang w:val="en-US"/>
              </w:rPr>
              <w:t>Percent</w:t>
            </w:r>
          </w:p>
        </w:tc>
        <w:tc>
          <w:tcPr>
            <w:tcW w:w="1063" w:type="dxa"/>
            <w:tcBorders>
              <w:top w:val="single" w:sz="4" w:space="0" w:color="auto"/>
              <w:bottom w:val="single" w:sz="4" w:space="0" w:color="auto"/>
            </w:tcBorders>
          </w:tcPr>
          <w:p w14:paraId="05436786" w14:textId="77777777" w:rsidR="000F16C4" w:rsidRPr="00196044" w:rsidRDefault="000F16C4" w:rsidP="000972AF">
            <w:pPr>
              <w:keepNext/>
              <w:spacing w:after="0"/>
              <w:jc w:val="center"/>
              <w:rPr>
                <w:i/>
                <w:szCs w:val="24"/>
                <w:lang w:val="en-US"/>
              </w:rPr>
            </w:pPr>
            <w:r w:rsidRPr="00196044">
              <w:rPr>
                <w:i/>
                <w:szCs w:val="24"/>
                <w:lang w:val="en-US"/>
              </w:rPr>
              <w:t>N</w:t>
            </w:r>
          </w:p>
        </w:tc>
        <w:tc>
          <w:tcPr>
            <w:tcW w:w="1063" w:type="dxa"/>
            <w:tcBorders>
              <w:top w:val="single" w:sz="4" w:space="0" w:color="auto"/>
              <w:bottom w:val="single" w:sz="4" w:space="0" w:color="auto"/>
            </w:tcBorders>
          </w:tcPr>
          <w:p w14:paraId="05E744D8" w14:textId="77777777" w:rsidR="000F16C4" w:rsidRPr="00196044" w:rsidRDefault="000F16C4" w:rsidP="000972AF">
            <w:pPr>
              <w:keepNext/>
              <w:spacing w:after="0"/>
              <w:jc w:val="center"/>
              <w:rPr>
                <w:i/>
                <w:szCs w:val="24"/>
                <w:lang w:val="en-US"/>
              </w:rPr>
            </w:pPr>
            <w:r w:rsidRPr="00196044">
              <w:rPr>
                <w:i/>
                <w:szCs w:val="24"/>
                <w:lang w:val="en-US"/>
              </w:rPr>
              <w:t>Percent</w:t>
            </w:r>
          </w:p>
        </w:tc>
      </w:tr>
      <w:tr w:rsidR="000F16C4" w:rsidRPr="00196044" w14:paraId="5D24218A" w14:textId="77777777" w:rsidTr="000972AF">
        <w:tc>
          <w:tcPr>
            <w:tcW w:w="4820" w:type="dxa"/>
            <w:tcBorders>
              <w:top w:val="single" w:sz="4" w:space="0" w:color="auto"/>
            </w:tcBorders>
          </w:tcPr>
          <w:p w14:paraId="44E1DD7A" w14:textId="77777777" w:rsidR="000F16C4" w:rsidRPr="00196044" w:rsidRDefault="000F16C4" w:rsidP="000972AF">
            <w:pPr>
              <w:keepNext/>
              <w:spacing w:after="0"/>
              <w:rPr>
                <w:szCs w:val="24"/>
                <w:lang w:val="en-US"/>
              </w:rPr>
            </w:pPr>
            <w:r w:rsidRPr="00196044">
              <w:rPr>
                <w:szCs w:val="24"/>
                <w:lang w:val="en-US"/>
              </w:rPr>
              <w:t>&lt;5%</w:t>
            </w:r>
          </w:p>
        </w:tc>
        <w:tc>
          <w:tcPr>
            <w:tcW w:w="1063" w:type="dxa"/>
            <w:tcBorders>
              <w:top w:val="single" w:sz="4" w:space="0" w:color="auto"/>
            </w:tcBorders>
          </w:tcPr>
          <w:p w14:paraId="27FA6B3C" w14:textId="77777777" w:rsidR="000F16C4" w:rsidRPr="00196044" w:rsidRDefault="000F16C4" w:rsidP="000972AF">
            <w:pPr>
              <w:keepNext/>
              <w:spacing w:after="0"/>
              <w:jc w:val="right"/>
              <w:rPr>
                <w:szCs w:val="24"/>
                <w:lang w:val="en-US"/>
              </w:rPr>
            </w:pPr>
            <w:r>
              <w:rPr>
                <w:szCs w:val="24"/>
                <w:lang w:val="en-US"/>
              </w:rPr>
              <w:t>564</w:t>
            </w:r>
          </w:p>
        </w:tc>
        <w:tc>
          <w:tcPr>
            <w:tcW w:w="1063" w:type="dxa"/>
            <w:tcBorders>
              <w:top w:val="single" w:sz="4" w:space="0" w:color="auto"/>
            </w:tcBorders>
          </w:tcPr>
          <w:p w14:paraId="4CF0B570" w14:textId="77777777" w:rsidR="000F16C4" w:rsidRPr="00196044" w:rsidRDefault="000F16C4" w:rsidP="000972AF">
            <w:pPr>
              <w:keepNext/>
              <w:spacing w:after="0"/>
              <w:jc w:val="right"/>
              <w:rPr>
                <w:szCs w:val="24"/>
                <w:lang w:val="en-US"/>
              </w:rPr>
            </w:pPr>
            <w:r>
              <w:rPr>
                <w:szCs w:val="24"/>
                <w:lang w:val="en-US"/>
              </w:rPr>
              <w:t>17.5</w:t>
            </w:r>
          </w:p>
        </w:tc>
        <w:tc>
          <w:tcPr>
            <w:tcW w:w="1063" w:type="dxa"/>
            <w:tcBorders>
              <w:top w:val="single" w:sz="4" w:space="0" w:color="auto"/>
            </w:tcBorders>
          </w:tcPr>
          <w:p w14:paraId="496D5EF5" w14:textId="77777777" w:rsidR="000F16C4" w:rsidRPr="00196044" w:rsidRDefault="000F16C4" w:rsidP="000972AF">
            <w:pPr>
              <w:keepNext/>
              <w:spacing w:after="0"/>
              <w:jc w:val="right"/>
              <w:rPr>
                <w:szCs w:val="24"/>
                <w:lang w:val="en-US"/>
              </w:rPr>
            </w:pPr>
            <w:r w:rsidRPr="00196044">
              <w:rPr>
                <w:szCs w:val="24"/>
                <w:lang w:val="en-US"/>
              </w:rPr>
              <w:t>438</w:t>
            </w:r>
          </w:p>
        </w:tc>
        <w:tc>
          <w:tcPr>
            <w:tcW w:w="1063" w:type="dxa"/>
            <w:tcBorders>
              <w:top w:val="single" w:sz="4" w:space="0" w:color="auto"/>
            </w:tcBorders>
          </w:tcPr>
          <w:p w14:paraId="03E0AB9C" w14:textId="77777777" w:rsidR="000F16C4" w:rsidRPr="00196044" w:rsidRDefault="000F16C4" w:rsidP="000972AF">
            <w:pPr>
              <w:keepNext/>
              <w:spacing w:after="0"/>
              <w:jc w:val="right"/>
              <w:rPr>
                <w:szCs w:val="24"/>
                <w:lang w:val="en-US"/>
              </w:rPr>
            </w:pPr>
            <w:r w:rsidRPr="00196044">
              <w:rPr>
                <w:szCs w:val="24"/>
                <w:lang w:val="en-US"/>
              </w:rPr>
              <w:t>13.8</w:t>
            </w:r>
          </w:p>
        </w:tc>
      </w:tr>
      <w:tr w:rsidR="000F16C4" w:rsidRPr="00196044" w14:paraId="0C9C82AA" w14:textId="77777777" w:rsidTr="000972AF">
        <w:tc>
          <w:tcPr>
            <w:tcW w:w="4820" w:type="dxa"/>
          </w:tcPr>
          <w:p w14:paraId="4E2788DE" w14:textId="77777777" w:rsidR="000F16C4" w:rsidRPr="00196044" w:rsidRDefault="000F16C4" w:rsidP="000972AF">
            <w:pPr>
              <w:keepNext/>
              <w:spacing w:after="0"/>
              <w:rPr>
                <w:szCs w:val="24"/>
                <w:lang w:val="en-US"/>
              </w:rPr>
            </w:pPr>
            <w:r w:rsidRPr="00196044">
              <w:rPr>
                <w:szCs w:val="24"/>
                <w:lang w:val="en-US"/>
              </w:rPr>
              <w:t>5-10 %</w:t>
            </w:r>
          </w:p>
        </w:tc>
        <w:tc>
          <w:tcPr>
            <w:tcW w:w="1063" w:type="dxa"/>
          </w:tcPr>
          <w:p w14:paraId="5DBA8F67" w14:textId="77777777" w:rsidR="000F16C4" w:rsidRPr="00196044" w:rsidRDefault="000F16C4" w:rsidP="000972AF">
            <w:pPr>
              <w:keepNext/>
              <w:spacing w:after="0"/>
              <w:jc w:val="right"/>
              <w:rPr>
                <w:szCs w:val="24"/>
                <w:lang w:val="en-US"/>
              </w:rPr>
            </w:pPr>
            <w:r w:rsidRPr="00196044">
              <w:rPr>
                <w:szCs w:val="24"/>
                <w:lang w:val="en-US"/>
              </w:rPr>
              <w:t>584</w:t>
            </w:r>
          </w:p>
        </w:tc>
        <w:tc>
          <w:tcPr>
            <w:tcW w:w="1063" w:type="dxa"/>
          </w:tcPr>
          <w:p w14:paraId="591C4BB1" w14:textId="77777777" w:rsidR="000F16C4" w:rsidRPr="00196044" w:rsidRDefault="000F16C4" w:rsidP="000972AF">
            <w:pPr>
              <w:keepNext/>
              <w:spacing w:after="0"/>
              <w:jc w:val="right"/>
              <w:rPr>
                <w:szCs w:val="24"/>
                <w:lang w:val="en-US"/>
              </w:rPr>
            </w:pPr>
            <w:r>
              <w:rPr>
                <w:szCs w:val="24"/>
                <w:lang w:val="en-US"/>
              </w:rPr>
              <w:t>18.2</w:t>
            </w:r>
          </w:p>
        </w:tc>
        <w:tc>
          <w:tcPr>
            <w:tcW w:w="1063" w:type="dxa"/>
          </w:tcPr>
          <w:p w14:paraId="2D90A702" w14:textId="77777777" w:rsidR="000F16C4" w:rsidRPr="00196044" w:rsidRDefault="000F16C4" w:rsidP="000972AF">
            <w:pPr>
              <w:keepNext/>
              <w:spacing w:after="0"/>
              <w:jc w:val="right"/>
              <w:rPr>
                <w:szCs w:val="24"/>
                <w:lang w:val="en-US"/>
              </w:rPr>
            </w:pPr>
            <w:r w:rsidRPr="00196044">
              <w:rPr>
                <w:szCs w:val="24"/>
                <w:lang w:val="en-US"/>
              </w:rPr>
              <w:t>527</w:t>
            </w:r>
          </w:p>
        </w:tc>
        <w:tc>
          <w:tcPr>
            <w:tcW w:w="1063" w:type="dxa"/>
          </w:tcPr>
          <w:p w14:paraId="2163CC2C" w14:textId="77777777" w:rsidR="000F16C4" w:rsidRPr="00196044" w:rsidRDefault="000F16C4" w:rsidP="000972AF">
            <w:pPr>
              <w:keepNext/>
              <w:spacing w:after="0"/>
              <w:jc w:val="right"/>
              <w:rPr>
                <w:szCs w:val="24"/>
                <w:lang w:val="en-US"/>
              </w:rPr>
            </w:pPr>
            <w:r w:rsidRPr="00196044">
              <w:rPr>
                <w:szCs w:val="24"/>
                <w:lang w:val="en-US"/>
              </w:rPr>
              <w:t>16.7</w:t>
            </w:r>
          </w:p>
        </w:tc>
      </w:tr>
      <w:tr w:rsidR="000F16C4" w:rsidRPr="00196044" w14:paraId="49E37AE9" w14:textId="77777777" w:rsidTr="000972AF">
        <w:tc>
          <w:tcPr>
            <w:tcW w:w="4820" w:type="dxa"/>
          </w:tcPr>
          <w:p w14:paraId="6B4D5C97" w14:textId="77777777" w:rsidR="000F16C4" w:rsidRPr="00196044" w:rsidRDefault="000F16C4" w:rsidP="000972AF">
            <w:pPr>
              <w:keepNext/>
              <w:spacing w:after="0"/>
              <w:rPr>
                <w:szCs w:val="24"/>
                <w:lang w:val="en-US"/>
              </w:rPr>
            </w:pPr>
            <w:r w:rsidRPr="00196044">
              <w:rPr>
                <w:szCs w:val="24"/>
                <w:lang w:val="en-US"/>
              </w:rPr>
              <w:t>10-25 %</w:t>
            </w:r>
          </w:p>
        </w:tc>
        <w:tc>
          <w:tcPr>
            <w:tcW w:w="1063" w:type="dxa"/>
          </w:tcPr>
          <w:p w14:paraId="11E60CD6" w14:textId="77777777" w:rsidR="000F16C4" w:rsidRPr="00196044" w:rsidRDefault="000F16C4" w:rsidP="000972AF">
            <w:pPr>
              <w:keepNext/>
              <w:spacing w:after="0"/>
              <w:jc w:val="right"/>
              <w:rPr>
                <w:szCs w:val="24"/>
                <w:lang w:val="en-US"/>
              </w:rPr>
            </w:pPr>
            <w:r>
              <w:rPr>
                <w:szCs w:val="24"/>
                <w:lang w:val="en-US"/>
              </w:rPr>
              <w:t>862</w:t>
            </w:r>
          </w:p>
        </w:tc>
        <w:tc>
          <w:tcPr>
            <w:tcW w:w="1063" w:type="dxa"/>
          </w:tcPr>
          <w:p w14:paraId="41872A82" w14:textId="77777777" w:rsidR="000F16C4" w:rsidRPr="00196044" w:rsidRDefault="000F16C4" w:rsidP="000972AF">
            <w:pPr>
              <w:keepNext/>
              <w:spacing w:after="0"/>
              <w:jc w:val="right"/>
              <w:rPr>
                <w:szCs w:val="24"/>
                <w:lang w:val="en-US"/>
              </w:rPr>
            </w:pPr>
            <w:r w:rsidRPr="00196044">
              <w:rPr>
                <w:szCs w:val="24"/>
                <w:lang w:val="en-US"/>
              </w:rPr>
              <w:t>26.8</w:t>
            </w:r>
          </w:p>
        </w:tc>
        <w:tc>
          <w:tcPr>
            <w:tcW w:w="1063" w:type="dxa"/>
          </w:tcPr>
          <w:p w14:paraId="7976A2FA" w14:textId="77777777" w:rsidR="000F16C4" w:rsidRPr="00196044" w:rsidRDefault="000F16C4" w:rsidP="000972AF">
            <w:pPr>
              <w:keepNext/>
              <w:spacing w:after="0"/>
              <w:jc w:val="right"/>
              <w:rPr>
                <w:szCs w:val="24"/>
                <w:lang w:val="en-US"/>
              </w:rPr>
            </w:pPr>
            <w:r w:rsidRPr="00196044">
              <w:rPr>
                <w:szCs w:val="24"/>
                <w:lang w:val="en-US"/>
              </w:rPr>
              <w:t>898</w:t>
            </w:r>
          </w:p>
        </w:tc>
        <w:tc>
          <w:tcPr>
            <w:tcW w:w="1063" w:type="dxa"/>
          </w:tcPr>
          <w:p w14:paraId="57574449" w14:textId="77777777" w:rsidR="000F16C4" w:rsidRPr="00196044" w:rsidRDefault="000F16C4" w:rsidP="000972AF">
            <w:pPr>
              <w:keepNext/>
              <w:spacing w:after="0"/>
              <w:jc w:val="right"/>
              <w:rPr>
                <w:szCs w:val="24"/>
                <w:lang w:val="en-US"/>
              </w:rPr>
            </w:pPr>
            <w:r w:rsidRPr="00196044">
              <w:rPr>
                <w:szCs w:val="24"/>
                <w:lang w:val="en-US"/>
              </w:rPr>
              <w:t>28.4</w:t>
            </w:r>
          </w:p>
        </w:tc>
      </w:tr>
      <w:tr w:rsidR="000F16C4" w:rsidRPr="00196044" w14:paraId="11C69821" w14:textId="77777777" w:rsidTr="000972AF">
        <w:tc>
          <w:tcPr>
            <w:tcW w:w="4820" w:type="dxa"/>
          </w:tcPr>
          <w:p w14:paraId="36EF270B" w14:textId="77777777" w:rsidR="000F16C4" w:rsidRPr="00196044" w:rsidRDefault="000F16C4" w:rsidP="000972AF">
            <w:pPr>
              <w:keepNext/>
              <w:spacing w:after="0"/>
              <w:rPr>
                <w:szCs w:val="24"/>
                <w:lang w:val="en-US"/>
              </w:rPr>
            </w:pPr>
            <w:r w:rsidRPr="00196044">
              <w:rPr>
                <w:szCs w:val="24"/>
                <w:lang w:val="en-US"/>
              </w:rPr>
              <w:t>25-50 %</w:t>
            </w:r>
          </w:p>
        </w:tc>
        <w:tc>
          <w:tcPr>
            <w:tcW w:w="1063" w:type="dxa"/>
          </w:tcPr>
          <w:p w14:paraId="0FB9A824" w14:textId="77777777" w:rsidR="000F16C4" w:rsidRPr="00196044" w:rsidRDefault="000F16C4" w:rsidP="000972AF">
            <w:pPr>
              <w:keepNext/>
              <w:spacing w:after="0"/>
              <w:jc w:val="right"/>
              <w:rPr>
                <w:szCs w:val="24"/>
                <w:lang w:val="en-US"/>
              </w:rPr>
            </w:pPr>
            <w:r>
              <w:rPr>
                <w:szCs w:val="24"/>
                <w:lang w:val="en-US"/>
              </w:rPr>
              <w:t>505</w:t>
            </w:r>
          </w:p>
        </w:tc>
        <w:tc>
          <w:tcPr>
            <w:tcW w:w="1063" w:type="dxa"/>
          </w:tcPr>
          <w:p w14:paraId="60742A11" w14:textId="77777777" w:rsidR="000F16C4" w:rsidRPr="00196044" w:rsidRDefault="000F16C4" w:rsidP="000972AF">
            <w:pPr>
              <w:keepNext/>
              <w:spacing w:after="0"/>
              <w:jc w:val="right"/>
              <w:rPr>
                <w:szCs w:val="24"/>
                <w:lang w:val="en-US"/>
              </w:rPr>
            </w:pPr>
            <w:r w:rsidRPr="00196044">
              <w:rPr>
                <w:szCs w:val="24"/>
                <w:lang w:val="en-US"/>
              </w:rPr>
              <w:t>15.7</w:t>
            </w:r>
          </w:p>
        </w:tc>
        <w:tc>
          <w:tcPr>
            <w:tcW w:w="1063" w:type="dxa"/>
          </w:tcPr>
          <w:p w14:paraId="637EC8D5" w14:textId="77777777" w:rsidR="000F16C4" w:rsidRPr="00196044" w:rsidRDefault="000F16C4" w:rsidP="000972AF">
            <w:pPr>
              <w:keepNext/>
              <w:spacing w:after="0"/>
              <w:jc w:val="right"/>
              <w:rPr>
                <w:szCs w:val="24"/>
                <w:lang w:val="en-US"/>
              </w:rPr>
            </w:pPr>
            <w:r w:rsidRPr="00196044">
              <w:rPr>
                <w:szCs w:val="24"/>
                <w:lang w:val="en-US"/>
              </w:rPr>
              <w:t>572</w:t>
            </w:r>
          </w:p>
        </w:tc>
        <w:tc>
          <w:tcPr>
            <w:tcW w:w="1063" w:type="dxa"/>
          </w:tcPr>
          <w:p w14:paraId="11EB7A7C" w14:textId="77777777" w:rsidR="000F16C4" w:rsidRPr="00196044" w:rsidRDefault="000F16C4" w:rsidP="000972AF">
            <w:pPr>
              <w:keepNext/>
              <w:spacing w:after="0"/>
              <w:jc w:val="right"/>
              <w:rPr>
                <w:szCs w:val="24"/>
                <w:lang w:val="en-US"/>
              </w:rPr>
            </w:pPr>
            <w:r w:rsidRPr="00196044">
              <w:rPr>
                <w:szCs w:val="24"/>
                <w:lang w:val="en-US"/>
              </w:rPr>
              <w:t>18.1</w:t>
            </w:r>
          </w:p>
        </w:tc>
      </w:tr>
      <w:tr w:rsidR="000F16C4" w:rsidRPr="00196044" w14:paraId="72CAFA63" w14:textId="77777777" w:rsidTr="000972AF">
        <w:tc>
          <w:tcPr>
            <w:tcW w:w="4820" w:type="dxa"/>
          </w:tcPr>
          <w:p w14:paraId="0AC6DC7E" w14:textId="77777777" w:rsidR="000F16C4" w:rsidRPr="00196044" w:rsidRDefault="000F16C4" w:rsidP="000972AF">
            <w:pPr>
              <w:keepNext/>
              <w:spacing w:after="0"/>
              <w:rPr>
                <w:szCs w:val="24"/>
                <w:lang w:val="en-US"/>
              </w:rPr>
            </w:pPr>
            <w:r w:rsidRPr="00196044">
              <w:rPr>
                <w:szCs w:val="24"/>
                <w:lang w:val="en-US"/>
              </w:rPr>
              <w:t>&gt;50%</w:t>
            </w:r>
          </w:p>
        </w:tc>
        <w:tc>
          <w:tcPr>
            <w:tcW w:w="1063" w:type="dxa"/>
          </w:tcPr>
          <w:p w14:paraId="0A059196" w14:textId="77777777" w:rsidR="000F16C4" w:rsidRPr="00196044" w:rsidRDefault="000F16C4" w:rsidP="000972AF">
            <w:pPr>
              <w:keepNext/>
              <w:spacing w:after="0"/>
              <w:jc w:val="right"/>
              <w:rPr>
                <w:szCs w:val="24"/>
                <w:lang w:val="en-US"/>
              </w:rPr>
            </w:pPr>
            <w:r w:rsidRPr="00196044">
              <w:rPr>
                <w:szCs w:val="24"/>
                <w:lang w:val="en-US"/>
              </w:rPr>
              <w:t>701</w:t>
            </w:r>
          </w:p>
        </w:tc>
        <w:tc>
          <w:tcPr>
            <w:tcW w:w="1063" w:type="dxa"/>
          </w:tcPr>
          <w:p w14:paraId="12AEE9BB" w14:textId="77777777" w:rsidR="000F16C4" w:rsidRPr="00196044" w:rsidRDefault="000F16C4" w:rsidP="000972AF">
            <w:pPr>
              <w:keepNext/>
              <w:spacing w:after="0"/>
              <w:jc w:val="right"/>
              <w:rPr>
                <w:szCs w:val="24"/>
                <w:lang w:val="en-US"/>
              </w:rPr>
            </w:pPr>
            <w:r w:rsidRPr="00196044">
              <w:rPr>
                <w:szCs w:val="24"/>
                <w:lang w:val="en-US"/>
              </w:rPr>
              <w:t>21.8</w:t>
            </w:r>
          </w:p>
        </w:tc>
        <w:tc>
          <w:tcPr>
            <w:tcW w:w="1063" w:type="dxa"/>
          </w:tcPr>
          <w:p w14:paraId="5B497449" w14:textId="77777777" w:rsidR="000F16C4" w:rsidRPr="00196044" w:rsidRDefault="000F16C4" w:rsidP="000972AF">
            <w:pPr>
              <w:keepNext/>
              <w:spacing w:after="0"/>
              <w:jc w:val="right"/>
              <w:rPr>
                <w:szCs w:val="24"/>
                <w:lang w:val="en-US"/>
              </w:rPr>
            </w:pPr>
            <w:r w:rsidRPr="00196044">
              <w:rPr>
                <w:szCs w:val="24"/>
                <w:lang w:val="en-US"/>
              </w:rPr>
              <w:t>731</w:t>
            </w:r>
          </w:p>
        </w:tc>
        <w:tc>
          <w:tcPr>
            <w:tcW w:w="1063" w:type="dxa"/>
          </w:tcPr>
          <w:p w14:paraId="2BFF0E0E" w14:textId="77777777" w:rsidR="000F16C4" w:rsidRPr="00196044" w:rsidRDefault="000F16C4" w:rsidP="000972AF">
            <w:pPr>
              <w:keepNext/>
              <w:spacing w:after="0"/>
              <w:jc w:val="right"/>
              <w:rPr>
                <w:szCs w:val="24"/>
                <w:lang w:val="en-US"/>
              </w:rPr>
            </w:pPr>
            <w:r w:rsidRPr="00196044">
              <w:rPr>
                <w:szCs w:val="24"/>
                <w:lang w:val="en-US"/>
              </w:rPr>
              <w:t>23.1</w:t>
            </w:r>
          </w:p>
        </w:tc>
      </w:tr>
      <w:tr w:rsidR="000F16C4" w:rsidRPr="00196044" w14:paraId="159B29A2" w14:textId="77777777" w:rsidTr="000972AF">
        <w:tc>
          <w:tcPr>
            <w:tcW w:w="4820" w:type="dxa"/>
            <w:tcBorders>
              <w:bottom w:val="single" w:sz="4" w:space="0" w:color="auto"/>
            </w:tcBorders>
          </w:tcPr>
          <w:p w14:paraId="6FF496DB" w14:textId="77777777" w:rsidR="000F16C4" w:rsidRPr="00196044" w:rsidRDefault="000F16C4" w:rsidP="000972AF">
            <w:pPr>
              <w:keepNext/>
              <w:spacing w:after="0"/>
              <w:rPr>
                <w:i/>
                <w:szCs w:val="24"/>
                <w:lang w:val="en-US"/>
              </w:rPr>
            </w:pPr>
          </w:p>
        </w:tc>
        <w:tc>
          <w:tcPr>
            <w:tcW w:w="1063" w:type="dxa"/>
            <w:tcBorders>
              <w:bottom w:val="single" w:sz="4" w:space="0" w:color="auto"/>
            </w:tcBorders>
          </w:tcPr>
          <w:p w14:paraId="154C492C" w14:textId="77777777" w:rsidR="000F16C4" w:rsidRPr="00196044" w:rsidRDefault="000F16C4" w:rsidP="000972AF">
            <w:pPr>
              <w:keepNext/>
              <w:spacing w:after="0"/>
              <w:rPr>
                <w:i/>
                <w:szCs w:val="24"/>
                <w:lang w:val="en-US"/>
              </w:rPr>
            </w:pPr>
          </w:p>
        </w:tc>
        <w:tc>
          <w:tcPr>
            <w:tcW w:w="1063" w:type="dxa"/>
            <w:tcBorders>
              <w:bottom w:val="single" w:sz="4" w:space="0" w:color="auto"/>
            </w:tcBorders>
          </w:tcPr>
          <w:p w14:paraId="2A9FC8F8" w14:textId="77777777" w:rsidR="000F16C4" w:rsidRPr="00196044" w:rsidRDefault="000F16C4" w:rsidP="000972AF">
            <w:pPr>
              <w:keepNext/>
              <w:spacing w:after="0"/>
              <w:rPr>
                <w:i/>
                <w:szCs w:val="24"/>
                <w:lang w:val="en-US"/>
              </w:rPr>
            </w:pPr>
          </w:p>
        </w:tc>
        <w:tc>
          <w:tcPr>
            <w:tcW w:w="1063" w:type="dxa"/>
            <w:tcBorders>
              <w:bottom w:val="single" w:sz="4" w:space="0" w:color="auto"/>
            </w:tcBorders>
          </w:tcPr>
          <w:p w14:paraId="4EED9D79" w14:textId="77777777" w:rsidR="000F16C4" w:rsidRPr="00196044" w:rsidRDefault="000F16C4" w:rsidP="000972AF">
            <w:pPr>
              <w:keepNext/>
              <w:spacing w:after="0"/>
              <w:rPr>
                <w:i/>
                <w:szCs w:val="24"/>
                <w:lang w:val="en-US"/>
              </w:rPr>
            </w:pPr>
          </w:p>
        </w:tc>
        <w:tc>
          <w:tcPr>
            <w:tcW w:w="1063" w:type="dxa"/>
            <w:tcBorders>
              <w:bottom w:val="single" w:sz="4" w:space="0" w:color="auto"/>
            </w:tcBorders>
          </w:tcPr>
          <w:p w14:paraId="0CBEFA76" w14:textId="77777777" w:rsidR="000F16C4" w:rsidRPr="00196044" w:rsidRDefault="000F16C4" w:rsidP="000972AF">
            <w:pPr>
              <w:keepNext/>
              <w:spacing w:after="0"/>
              <w:rPr>
                <w:i/>
                <w:szCs w:val="24"/>
                <w:lang w:val="en-US"/>
              </w:rPr>
            </w:pPr>
          </w:p>
        </w:tc>
      </w:tr>
      <w:tr w:rsidR="000F16C4" w:rsidRPr="00196044" w14:paraId="7A41AEF8" w14:textId="77777777" w:rsidTr="000972AF">
        <w:tc>
          <w:tcPr>
            <w:tcW w:w="4820" w:type="dxa"/>
            <w:tcBorders>
              <w:top w:val="single" w:sz="4" w:space="0" w:color="auto"/>
              <w:bottom w:val="single" w:sz="4" w:space="0" w:color="auto"/>
            </w:tcBorders>
          </w:tcPr>
          <w:p w14:paraId="7C98D821" w14:textId="77777777" w:rsidR="000F16C4" w:rsidRPr="00196044" w:rsidRDefault="000F16C4" w:rsidP="000972AF">
            <w:pPr>
              <w:keepNext/>
              <w:spacing w:after="0"/>
              <w:rPr>
                <w:i/>
                <w:szCs w:val="24"/>
                <w:lang w:val="en-US"/>
              </w:rPr>
            </w:pPr>
            <w:r w:rsidRPr="00196044">
              <w:rPr>
                <w:i/>
                <w:szCs w:val="24"/>
                <w:lang w:val="en-US"/>
              </w:rPr>
              <w:t>Industry</w:t>
            </w:r>
          </w:p>
        </w:tc>
        <w:tc>
          <w:tcPr>
            <w:tcW w:w="1063" w:type="dxa"/>
            <w:tcBorders>
              <w:top w:val="single" w:sz="4" w:space="0" w:color="auto"/>
              <w:bottom w:val="single" w:sz="4" w:space="0" w:color="auto"/>
            </w:tcBorders>
          </w:tcPr>
          <w:p w14:paraId="0EA8779B" w14:textId="77777777" w:rsidR="000F16C4" w:rsidRPr="00196044" w:rsidRDefault="000F16C4" w:rsidP="000972AF">
            <w:pPr>
              <w:keepNext/>
              <w:spacing w:after="0"/>
              <w:jc w:val="center"/>
              <w:rPr>
                <w:i/>
                <w:szCs w:val="24"/>
                <w:lang w:val="en-US"/>
              </w:rPr>
            </w:pPr>
            <w:r w:rsidRPr="00196044">
              <w:rPr>
                <w:i/>
                <w:szCs w:val="24"/>
                <w:lang w:val="en-US"/>
              </w:rPr>
              <w:t>N</w:t>
            </w:r>
          </w:p>
        </w:tc>
        <w:tc>
          <w:tcPr>
            <w:tcW w:w="1063" w:type="dxa"/>
            <w:tcBorders>
              <w:top w:val="single" w:sz="4" w:space="0" w:color="auto"/>
              <w:bottom w:val="single" w:sz="4" w:space="0" w:color="auto"/>
            </w:tcBorders>
          </w:tcPr>
          <w:p w14:paraId="70013478" w14:textId="77777777" w:rsidR="000F16C4" w:rsidRPr="00196044" w:rsidRDefault="000F16C4" w:rsidP="000972AF">
            <w:pPr>
              <w:keepNext/>
              <w:spacing w:after="0"/>
              <w:jc w:val="center"/>
              <w:rPr>
                <w:i/>
                <w:szCs w:val="24"/>
                <w:lang w:val="en-US"/>
              </w:rPr>
            </w:pPr>
            <w:r w:rsidRPr="00196044">
              <w:rPr>
                <w:i/>
                <w:szCs w:val="24"/>
                <w:lang w:val="en-US"/>
              </w:rPr>
              <w:t>Percent</w:t>
            </w:r>
          </w:p>
        </w:tc>
        <w:tc>
          <w:tcPr>
            <w:tcW w:w="1063" w:type="dxa"/>
            <w:tcBorders>
              <w:top w:val="single" w:sz="4" w:space="0" w:color="auto"/>
              <w:bottom w:val="single" w:sz="4" w:space="0" w:color="auto"/>
            </w:tcBorders>
          </w:tcPr>
          <w:p w14:paraId="7946E483" w14:textId="77777777" w:rsidR="000F16C4" w:rsidRPr="00196044" w:rsidRDefault="000F16C4" w:rsidP="000972AF">
            <w:pPr>
              <w:keepNext/>
              <w:spacing w:after="0"/>
              <w:jc w:val="center"/>
              <w:rPr>
                <w:i/>
                <w:szCs w:val="24"/>
                <w:lang w:val="en-US"/>
              </w:rPr>
            </w:pPr>
            <w:r w:rsidRPr="00196044">
              <w:rPr>
                <w:i/>
                <w:szCs w:val="24"/>
                <w:lang w:val="en-US"/>
              </w:rPr>
              <w:t>N</w:t>
            </w:r>
          </w:p>
        </w:tc>
        <w:tc>
          <w:tcPr>
            <w:tcW w:w="1063" w:type="dxa"/>
            <w:tcBorders>
              <w:top w:val="single" w:sz="4" w:space="0" w:color="auto"/>
              <w:bottom w:val="single" w:sz="4" w:space="0" w:color="auto"/>
            </w:tcBorders>
          </w:tcPr>
          <w:p w14:paraId="2FB97EC9" w14:textId="77777777" w:rsidR="000F16C4" w:rsidRPr="00196044" w:rsidRDefault="000F16C4" w:rsidP="000972AF">
            <w:pPr>
              <w:keepNext/>
              <w:spacing w:after="0"/>
              <w:jc w:val="center"/>
              <w:rPr>
                <w:i/>
                <w:szCs w:val="24"/>
                <w:lang w:val="en-US"/>
              </w:rPr>
            </w:pPr>
            <w:r w:rsidRPr="00196044">
              <w:rPr>
                <w:i/>
                <w:szCs w:val="24"/>
                <w:lang w:val="en-US"/>
              </w:rPr>
              <w:t>Percent</w:t>
            </w:r>
          </w:p>
        </w:tc>
      </w:tr>
      <w:tr w:rsidR="000F16C4" w:rsidRPr="00196044" w14:paraId="1FB2D999" w14:textId="77777777" w:rsidTr="000972AF">
        <w:tc>
          <w:tcPr>
            <w:tcW w:w="4820" w:type="dxa"/>
            <w:tcBorders>
              <w:top w:val="single" w:sz="4" w:space="0" w:color="auto"/>
            </w:tcBorders>
          </w:tcPr>
          <w:p w14:paraId="44E26B03" w14:textId="77777777" w:rsidR="000F16C4" w:rsidRPr="00196044" w:rsidRDefault="000F16C4" w:rsidP="000972AF">
            <w:pPr>
              <w:keepNext/>
              <w:spacing w:after="0"/>
              <w:rPr>
                <w:szCs w:val="24"/>
                <w:lang w:val="en-US"/>
              </w:rPr>
            </w:pPr>
            <w:r w:rsidRPr="00196044">
              <w:rPr>
                <w:szCs w:val="24"/>
                <w:lang w:val="en-US"/>
              </w:rPr>
              <w:t>Seafood</w:t>
            </w:r>
          </w:p>
        </w:tc>
        <w:tc>
          <w:tcPr>
            <w:tcW w:w="1063" w:type="dxa"/>
            <w:tcBorders>
              <w:top w:val="single" w:sz="4" w:space="0" w:color="auto"/>
            </w:tcBorders>
          </w:tcPr>
          <w:p w14:paraId="3D3022F0" w14:textId="77777777" w:rsidR="000F16C4" w:rsidRPr="00196044" w:rsidRDefault="000F16C4" w:rsidP="000972AF">
            <w:pPr>
              <w:keepNext/>
              <w:spacing w:after="0"/>
              <w:jc w:val="right"/>
              <w:rPr>
                <w:szCs w:val="24"/>
                <w:lang w:val="en-US"/>
              </w:rPr>
            </w:pPr>
            <w:r w:rsidRPr="00196044">
              <w:rPr>
                <w:szCs w:val="24"/>
                <w:lang w:val="en-US"/>
              </w:rPr>
              <w:t>42</w:t>
            </w:r>
          </w:p>
        </w:tc>
        <w:tc>
          <w:tcPr>
            <w:tcW w:w="1063" w:type="dxa"/>
            <w:tcBorders>
              <w:top w:val="single" w:sz="4" w:space="0" w:color="auto"/>
            </w:tcBorders>
          </w:tcPr>
          <w:p w14:paraId="7AB92AA6" w14:textId="77777777" w:rsidR="000F16C4" w:rsidRPr="00196044" w:rsidRDefault="000F16C4" w:rsidP="000972AF">
            <w:pPr>
              <w:keepNext/>
              <w:spacing w:after="0"/>
              <w:jc w:val="right"/>
              <w:rPr>
                <w:szCs w:val="24"/>
                <w:lang w:val="en-US"/>
              </w:rPr>
            </w:pPr>
            <w:r w:rsidRPr="00196044">
              <w:rPr>
                <w:szCs w:val="24"/>
                <w:lang w:val="en-US"/>
              </w:rPr>
              <w:t>1.3</w:t>
            </w:r>
          </w:p>
        </w:tc>
        <w:tc>
          <w:tcPr>
            <w:tcW w:w="1063" w:type="dxa"/>
            <w:tcBorders>
              <w:top w:val="single" w:sz="4" w:space="0" w:color="auto"/>
            </w:tcBorders>
          </w:tcPr>
          <w:p w14:paraId="2CA61DDD" w14:textId="77777777" w:rsidR="000F16C4" w:rsidRPr="00196044" w:rsidRDefault="000F16C4" w:rsidP="000972AF">
            <w:pPr>
              <w:keepNext/>
              <w:spacing w:after="0"/>
              <w:jc w:val="right"/>
              <w:rPr>
                <w:szCs w:val="24"/>
                <w:lang w:val="en-US"/>
              </w:rPr>
            </w:pPr>
            <w:r w:rsidRPr="00196044">
              <w:rPr>
                <w:szCs w:val="24"/>
                <w:lang w:val="en-US"/>
              </w:rPr>
              <w:t>41</w:t>
            </w:r>
          </w:p>
        </w:tc>
        <w:tc>
          <w:tcPr>
            <w:tcW w:w="1063" w:type="dxa"/>
            <w:tcBorders>
              <w:top w:val="single" w:sz="4" w:space="0" w:color="auto"/>
            </w:tcBorders>
          </w:tcPr>
          <w:p w14:paraId="7BD46EFD" w14:textId="77777777" w:rsidR="000F16C4" w:rsidRPr="00196044" w:rsidRDefault="000F16C4" w:rsidP="000972AF">
            <w:pPr>
              <w:keepNext/>
              <w:spacing w:after="0"/>
              <w:jc w:val="right"/>
              <w:rPr>
                <w:szCs w:val="24"/>
                <w:lang w:val="en-US"/>
              </w:rPr>
            </w:pPr>
            <w:r w:rsidRPr="00196044">
              <w:rPr>
                <w:szCs w:val="24"/>
                <w:lang w:val="en-US"/>
              </w:rPr>
              <w:t>1.3</w:t>
            </w:r>
          </w:p>
        </w:tc>
      </w:tr>
      <w:tr w:rsidR="000F16C4" w:rsidRPr="00196044" w14:paraId="51662DA4" w14:textId="77777777" w:rsidTr="000972AF">
        <w:tc>
          <w:tcPr>
            <w:tcW w:w="4820" w:type="dxa"/>
          </w:tcPr>
          <w:p w14:paraId="2B527576" w14:textId="77777777" w:rsidR="000F16C4" w:rsidRPr="00196044" w:rsidRDefault="000F16C4" w:rsidP="000972AF">
            <w:pPr>
              <w:keepNext/>
              <w:spacing w:after="0"/>
              <w:rPr>
                <w:szCs w:val="24"/>
                <w:lang w:val="en-US"/>
              </w:rPr>
            </w:pPr>
            <w:r w:rsidRPr="00196044">
              <w:rPr>
                <w:szCs w:val="24"/>
                <w:lang w:val="en-US"/>
              </w:rPr>
              <w:t>Mining and quarrying</w:t>
            </w:r>
          </w:p>
        </w:tc>
        <w:tc>
          <w:tcPr>
            <w:tcW w:w="1063" w:type="dxa"/>
          </w:tcPr>
          <w:p w14:paraId="1570F029" w14:textId="77777777" w:rsidR="000F16C4" w:rsidRPr="00196044" w:rsidRDefault="000F16C4" w:rsidP="000972AF">
            <w:pPr>
              <w:keepNext/>
              <w:spacing w:after="0"/>
              <w:jc w:val="right"/>
              <w:rPr>
                <w:szCs w:val="24"/>
                <w:lang w:val="en-US"/>
              </w:rPr>
            </w:pPr>
            <w:r w:rsidRPr="00196044">
              <w:rPr>
                <w:szCs w:val="24"/>
                <w:lang w:val="en-US"/>
              </w:rPr>
              <w:t>98</w:t>
            </w:r>
          </w:p>
        </w:tc>
        <w:tc>
          <w:tcPr>
            <w:tcW w:w="1063" w:type="dxa"/>
          </w:tcPr>
          <w:p w14:paraId="28BA0287" w14:textId="77777777" w:rsidR="000F16C4" w:rsidRPr="00196044" w:rsidRDefault="000F16C4" w:rsidP="000972AF">
            <w:pPr>
              <w:keepNext/>
              <w:spacing w:after="0"/>
              <w:jc w:val="right"/>
              <w:rPr>
                <w:szCs w:val="24"/>
                <w:lang w:val="en-US"/>
              </w:rPr>
            </w:pPr>
            <w:r w:rsidRPr="00196044">
              <w:rPr>
                <w:szCs w:val="24"/>
                <w:lang w:val="en-US"/>
              </w:rPr>
              <w:t>3.0</w:t>
            </w:r>
          </w:p>
        </w:tc>
        <w:tc>
          <w:tcPr>
            <w:tcW w:w="1063" w:type="dxa"/>
          </w:tcPr>
          <w:p w14:paraId="02FFC046" w14:textId="77777777" w:rsidR="000F16C4" w:rsidRPr="00196044" w:rsidRDefault="000F16C4" w:rsidP="000972AF">
            <w:pPr>
              <w:keepNext/>
              <w:spacing w:after="0"/>
              <w:jc w:val="right"/>
              <w:rPr>
                <w:szCs w:val="24"/>
                <w:lang w:val="en-US"/>
              </w:rPr>
            </w:pPr>
            <w:r w:rsidRPr="00196044">
              <w:rPr>
                <w:szCs w:val="24"/>
                <w:lang w:val="en-US"/>
              </w:rPr>
              <w:t>127</w:t>
            </w:r>
          </w:p>
        </w:tc>
        <w:tc>
          <w:tcPr>
            <w:tcW w:w="1063" w:type="dxa"/>
          </w:tcPr>
          <w:p w14:paraId="287FFEFE" w14:textId="77777777" w:rsidR="000F16C4" w:rsidRPr="00196044" w:rsidRDefault="000F16C4" w:rsidP="000972AF">
            <w:pPr>
              <w:keepNext/>
              <w:spacing w:after="0"/>
              <w:jc w:val="right"/>
              <w:rPr>
                <w:szCs w:val="24"/>
                <w:lang w:val="en-US"/>
              </w:rPr>
            </w:pPr>
            <w:r w:rsidRPr="00196044">
              <w:rPr>
                <w:szCs w:val="24"/>
                <w:lang w:val="en-US"/>
              </w:rPr>
              <w:t>4.0</w:t>
            </w:r>
          </w:p>
        </w:tc>
      </w:tr>
      <w:tr w:rsidR="000F16C4" w:rsidRPr="00196044" w14:paraId="1278960B" w14:textId="77777777" w:rsidTr="000972AF">
        <w:tc>
          <w:tcPr>
            <w:tcW w:w="4820" w:type="dxa"/>
          </w:tcPr>
          <w:p w14:paraId="57F1D57A" w14:textId="77777777" w:rsidR="000F16C4" w:rsidRPr="00196044" w:rsidRDefault="000F16C4" w:rsidP="000972AF">
            <w:pPr>
              <w:keepNext/>
              <w:spacing w:after="0"/>
              <w:rPr>
                <w:szCs w:val="24"/>
                <w:lang w:val="en-US"/>
              </w:rPr>
            </w:pPr>
            <w:r w:rsidRPr="00196044">
              <w:rPr>
                <w:szCs w:val="24"/>
                <w:lang w:val="en-US"/>
              </w:rPr>
              <w:t>High-tech/medium high-tech manufacturing</w:t>
            </w:r>
          </w:p>
        </w:tc>
        <w:tc>
          <w:tcPr>
            <w:tcW w:w="1063" w:type="dxa"/>
          </w:tcPr>
          <w:p w14:paraId="73978E8C" w14:textId="77777777" w:rsidR="000F16C4" w:rsidRPr="00196044" w:rsidRDefault="000F16C4" w:rsidP="000972AF">
            <w:pPr>
              <w:keepNext/>
              <w:spacing w:after="0"/>
              <w:jc w:val="right"/>
              <w:rPr>
                <w:szCs w:val="24"/>
                <w:lang w:val="en-US"/>
              </w:rPr>
            </w:pPr>
            <w:r>
              <w:rPr>
                <w:szCs w:val="24"/>
                <w:lang w:val="en-US"/>
              </w:rPr>
              <w:t>381</w:t>
            </w:r>
          </w:p>
        </w:tc>
        <w:tc>
          <w:tcPr>
            <w:tcW w:w="1063" w:type="dxa"/>
          </w:tcPr>
          <w:p w14:paraId="184479E9" w14:textId="77777777" w:rsidR="000F16C4" w:rsidRPr="00196044" w:rsidRDefault="000F16C4" w:rsidP="000972AF">
            <w:pPr>
              <w:keepNext/>
              <w:spacing w:after="0"/>
              <w:jc w:val="right"/>
              <w:rPr>
                <w:szCs w:val="24"/>
                <w:lang w:val="en-US"/>
              </w:rPr>
            </w:pPr>
            <w:r>
              <w:rPr>
                <w:szCs w:val="24"/>
                <w:lang w:val="en-US"/>
              </w:rPr>
              <w:t>11.8</w:t>
            </w:r>
          </w:p>
        </w:tc>
        <w:tc>
          <w:tcPr>
            <w:tcW w:w="1063" w:type="dxa"/>
          </w:tcPr>
          <w:p w14:paraId="1605AC99" w14:textId="77777777" w:rsidR="000F16C4" w:rsidRPr="00196044" w:rsidRDefault="000F16C4" w:rsidP="000972AF">
            <w:pPr>
              <w:keepNext/>
              <w:spacing w:after="0"/>
              <w:jc w:val="right"/>
              <w:rPr>
                <w:szCs w:val="24"/>
                <w:lang w:val="en-US"/>
              </w:rPr>
            </w:pPr>
            <w:r w:rsidRPr="00196044">
              <w:rPr>
                <w:szCs w:val="24"/>
                <w:lang w:val="en-US"/>
              </w:rPr>
              <w:t>398</w:t>
            </w:r>
          </w:p>
        </w:tc>
        <w:tc>
          <w:tcPr>
            <w:tcW w:w="1063" w:type="dxa"/>
          </w:tcPr>
          <w:p w14:paraId="72BB31F6" w14:textId="77777777" w:rsidR="000F16C4" w:rsidRPr="00196044" w:rsidRDefault="000F16C4" w:rsidP="000972AF">
            <w:pPr>
              <w:keepNext/>
              <w:spacing w:after="0"/>
              <w:jc w:val="right"/>
              <w:rPr>
                <w:szCs w:val="24"/>
                <w:lang w:val="en-US"/>
              </w:rPr>
            </w:pPr>
            <w:r w:rsidRPr="00196044">
              <w:rPr>
                <w:szCs w:val="24"/>
                <w:lang w:val="en-US"/>
              </w:rPr>
              <w:t>12.6</w:t>
            </w:r>
          </w:p>
        </w:tc>
      </w:tr>
      <w:tr w:rsidR="000F16C4" w:rsidRPr="00196044" w14:paraId="09AF6164" w14:textId="77777777" w:rsidTr="000972AF">
        <w:tc>
          <w:tcPr>
            <w:tcW w:w="4820" w:type="dxa"/>
          </w:tcPr>
          <w:p w14:paraId="3720D839" w14:textId="77777777" w:rsidR="000F16C4" w:rsidRPr="00196044" w:rsidRDefault="000F16C4" w:rsidP="000972AF">
            <w:pPr>
              <w:keepNext/>
              <w:spacing w:after="0"/>
              <w:rPr>
                <w:szCs w:val="24"/>
                <w:lang w:val="en-US"/>
              </w:rPr>
            </w:pPr>
            <w:r w:rsidRPr="00196044">
              <w:rPr>
                <w:szCs w:val="24"/>
                <w:lang w:val="en-US"/>
              </w:rPr>
              <w:t>Low-tech/medium low-tech manufacturing</w:t>
            </w:r>
          </w:p>
        </w:tc>
        <w:tc>
          <w:tcPr>
            <w:tcW w:w="1063" w:type="dxa"/>
          </w:tcPr>
          <w:p w14:paraId="0213CD57" w14:textId="77777777" w:rsidR="000F16C4" w:rsidRPr="00196044" w:rsidRDefault="000F16C4" w:rsidP="000972AF">
            <w:pPr>
              <w:keepNext/>
              <w:spacing w:after="0"/>
              <w:jc w:val="right"/>
              <w:rPr>
                <w:szCs w:val="24"/>
                <w:lang w:val="en-US"/>
              </w:rPr>
            </w:pPr>
            <w:r>
              <w:rPr>
                <w:szCs w:val="24"/>
                <w:lang w:val="en-US"/>
              </w:rPr>
              <w:t>1054</w:t>
            </w:r>
          </w:p>
        </w:tc>
        <w:tc>
          <w:tcPr>
            <w:tcW w:w="1063" w:type="dxa"/>
          </w:tcPr>
          <w:p w14:paraId="4CB932C9" w14:textId="77777777" w:rsidR="000F16C4" w:rsidRPr="00196044" w:rsidRDefault="000F16C4" w:rsidP="000972AF">
            <w:pPr>
              <w:keepNext/>
              <w:spacing w:after="0"/>
              <w:jc w:val="right"/>
              <w:rPr>
                <w:szCs w:val="24"/>
                <w:lang w:val="en-US"/>
              </w:rPr>
            </w:pPr>
            <w:r w:rsidRPr="00196044">
              <w:rPr>
                <w:szCs w:val="24"/>
                <w:lang w:val="en-US"/>
              </w:rPr>
              <w:t>32.8</w:t>
            </w:r>
          </w:p>
        </w:tc>
        <w:tc>
          <w:tcPr>
            <w:tcW w:w="1063" w:type="dxa"/>
          </w:tcPr>
          <w:p w14:paraId="77DE1AFE" w14:textId="77777777" w:rsidR="000F16C4" w:rsidRPr="00196044" w:rsidRDefault="000F16C4" w:rsidP="000972AF">
            <w:pPr>
              <w:keepNext/>
              <w:spacing w:after="0"/>
              <w:jc w:val="right"/>
              <w:rPr>
                <w:szCs w:val="24"/>
                <w:lang w:val="en-US"/>
              </w:rPr>
            </w:pPr>
            <w:r w:rsidRPr="00196044">
              <w:rPr>
                <w:szCs w:val="24"/>
                <w:lang w:val="en-US"/>
              </w:rPr>
              <w:t>823</w:t>
            </w:r>
          </w:p>
        </w:tc>
        <w:tc>
          <w:tcPr>
            <w:tcW w:w="1063" w:type="dxa"/>
          </w:tcPr>
          <w:p w14:paraId="1EBE682E" w14:textId="77777777" w:rsidR="000F16C4" w:rsidRPr="00196044" w:rsidRDefault="000F16C4" w:rsidP="000972AF">
            <w:pPr>
              <w:keepNext/>
              <w:spacing w:after="0"/>
              <w:jc w:val="right"/>
              <w:rPr>
                <w:szCs w:val="24"/>
                <w:lang w:val="en-US"/>
              </w:rPr>
            </w:pPr>
            <w:r w:rsidRPr="00196044">
              <w:rPr>
                <w:szCs w:val="24"/>
                <w:lang w:val="en-US"/>
              </w:rPr>
              <w:t>26.0</w:t>
            </w:r>
          </w:p>
        </w:tc>
      </w:tr>
      <w:tr w:rsidR="000F16C4" w:rsidRPr="00196044" w14:paraId="09C8E7B4" w14:textId="77777777" w:rsidTr="000972AF">
        <w:tc>
          <w:tcPr>
            <w:tcW w:w="4820" w:type="dxa"/>
          </w:tcPr>
          <w:p w14:paraId="2837E10B" w14:textId="77777777" w:rsidR="000F16C4" w:rsidRPr="00196044" w:rsidRDefault="000F16C4" w:rsidP="000972AF">
            <w:pPr>
              <w:keepNext/>
              <w:spacing w:after="0"/>
              <w:rPr>
                <w:szCs w:val="24"/>
                <w:lang w:val="en-US"/>
              </w:rPr>
            </w:pPr>
            <w:r w:rsidRPr="00196044">
              <w:rPr>
                <w:szCs w:val="24"/>
                <w:lang w:val="en-US"/>
              </w:rPr>
              <w:t>El., gas and water supply</w:t>
            </w:r>
          </w:p>
        </w:tc>
        <w:tc>
          <w:tcPr>
            <w:tcW w:w="1063" w:type="dxa"/>
          </w:tcPr>
          <w:p w14:paraId="02C120D1" w14:textId="77777777" w:rsidR="000F16C4" w:rsidRPr="00196044" w:rsidRDefault="000F16C4" w:rsidP="000972AF">
            <w:pPr>
              <w:keepNext/>
              <w:spacing w:after="0"/>
              <w:jc w:val="right"/>
              <w:rPr>
                <w:szCs w:val="24"/>
                <w:lang w:val="en-US"/>
              </w:rPr>
            </w:pPr>
            <w:r>
              <w:rPr>
                <w:szCs w:val="24"/>
                <w:lang w:val="en-US"/>
              </w:rPr>
              <w:t>110</w:t>
            </w:r>
          </w:p>
        </w:tc>
        <w:tc>
          <w:tcPr>
            <w:tcW w:w="1063" w:type="dxa"/>
          </w:tcPr>
          <w:p w14:paraId="46149FC8" w14:textId="77777777" w:rsidR="000F16C4" w:rsidRPr="00196044" w:rsidRDefault="000F16C4" w:rsidP="000972AF">
            <w:pPr>
              <w:keepNext/>
              <w:spacing w:after="0"/>
              <w:jc w:val="right"/>
              <w:rPr>
                <w:szCs w:val="24"/>
                <w:lang w:val="en-US"/>
              </w:rPr>
            </w:pPr>
            <w:r>
              <w:rPr>
                <w:szCs w:val="24"/>
                <w:lang w:val="en-US"/>
              </w:rPr>
              <w:t>3.4</w:t>
            </w:r>
          </w:p>
        </w:tc>
        <w:tc>
          <w:tcPr>
            <w:tcW w:w="1063" w:type="dxa"/>
          </w:tcPr>
          <w:p w14:paraId="20429BCB" w14:textId="77777777" w:rsidR="000F16C4" w:rsidRPr="00196044" w:rsidRDefault="000F16C4" w:rsidP="000972AF">
            <w:pPr>
              <w:keepNext/>
              <w:spacing w:after="0"/>
              <w:jc w:val="right"/>
              <w:rPr>
                <w:szCs w:val="24"/>
                <w:lang w:val="en-US"/>
              </w:rPr>
            </w:pPr>
            <w:r w:rsidRPr="00196044">
              <w:rPr>
                <w:szCs w:val="24"/>
                <w:lang w:val="en-US"/>
              </w:rPr>
              <w:t>157</w:t>
            </w:r>
          </w:p>
        </w:tc>
        <w:tc>
          <w:tcPr>
            <w:tcW w:w="1063" w:type="dxa"/>
          </w:tcPr>
          <w:p w14:paraId="365F86F3" w14:textId="77777777" w:rsidR="000F16C4" w:rsidRPr="00196044" w:rsidRDefault="000F16C4" w:rsidP="000972AF">
            <w:pPr>
              <w:keepNext/>
              <w:spacing w:after="0"/>
              <w:jc w:val="right"/>
              <w:rPr>
                <w:szCs w:val="24"/>
                <w:lang w:val="en-US"/>
              </w:rPr>
            </w:pPr>
            <w:r w:rsidRPr="00196044">
              <w:rPr>
                <w:szCs w:val="24"/>
                <w:lang w:val="en-US"/>
              </w:rPr>
              <w:t>5.0</w:t>
            </w:r>
          </w:p>
        </w:tc>
      </w:tr>
      <w:tr w:rsidR="000F16C4" w:rsidRPr="00196044" w14:paraId="4915581D" w14:textId="77777777" w:rsidTr="000972AF">
        <w:tc>
          <w:tcPr>
            <w:tcW w:w="4820" w:type="dxa"/>
          </w:tcPr>
          <w:p w14:paraId="7B6DAC8B" w14:textId="77777777" w:rsidR="000F16C4" w:rsidRPr="00196044" w:rsidRDefault="000F16C4" w:rsidP="000972AF">
            <w:pPr>
              <w:keepNext/>
              <w:spacing w:after="0"/>
              <w:rPr>
                <w:szCs w:val="24"/>
                <w:lang w:val="en-US"/>
              </w:rPr>
            </w:pPr>
            <w:r w:rsidRPr="00196044">
              <w:rPr>
                <w:szCs w:val="24"/>
                <w:lang w:val="en-US"/>
              </w:rPr>
              <w:t>Construction</w:t>
            </w:r>
          </w:p>
        </w:tc>
        <w:tc>
          <w:tcPr>
            <w:tcW w:w="1063" w:type="dxa"/>
          </w:tcPr>
          <w:p w14:paraId="39814DA1" w14:textId="77777777" w:rsidR="000F16C4" w:rsidRPr="00196044" w:rsidRDefault="000F16C4" w:rsidP="000972AF">
            <w:pPr>
              <w:keepNext/>
              <w:spacing w:after="0"/>
              <w:jc w:val="right"/>
              <w:rPr>
                <w:szCs w:val="24"/>
                <w:lang w:val="en-US"/>
              </w:rPr>
            </w:pPr>
            <w:r w:rsidRPr="00196044">
              <w:rPr>
                <w:szCs w:val="24"/>
                <w:lang w:val="en-US"/>
              </w:rPr>
              <w:t>206</w:t>
            </w:r>
          </w:p>
        </w:tc>
        <w:tc>
          <w:tcPr>
            <w:tcW w:w="1063" w:type="dxa"/>
          </w:tcPr>
          <w:p w14:paraId="308BDA27" w14:textId="77777777" w:rsidR="000F16C4" w:rsidRPr="00196044" w:rsidRDefault="000F16C4" w:rsidP="000972AF">
            <w:pPr>
              <w:keepNext/>
              <w:spacing w:after="0"/>
              <w:jc w:val="right"/>
              <w:rPr>
                <w:szCs w:val="24"/>
                <w:lang w:val="en-US"/>
              </w:rPr>
            </w:pPr>
            <w:r w:rsidRPr="00196044">
              <w:rPr>
                <w:szCs w:val="24"/>
                <w:lang w:val="en-US"/>
              </w:rPr>
              <w:t>6.4</w:t>
            </w:r>
          </w:p>
        </w:tc>
        <w:tc>
          <w:tcPr>
            <w:tcW w:w="1063" w:type="dxa"/>
          </w:tcPr>
          <w:p w14:paraId="003CDAA5" w14:textId="77777777" w:rsidR="000F16C4" w:rsidRPr="00196044" w:rsidRDefault="000F16C4" w:rsidP="000972AF">
            <w:pPr>
              <w:keepNext/>
              <w:spacing w:after="0"/>
              <w:jc w:val="right"/>
              <w:rPr>
                <w:szCs w:val="24"/>
                <w:lang w:val="en-US"/>
              </w:rPr>
            </w:pPr>
            <w:r w:rsidRPr="00196044">
              <w:rPr>
                <w:szCs w:val="24"/>
                <w:lang w:val="en-US"/>
              </w:rPr>
              <w:t>251</w:t>
            </w:r>
          </w:p>
        </w:tc>
        <w:tc>
          <w:tcPr>
            <w:tcW w:w="1063" w:type="dxa"/>
          </w:tcPr>
          <w:p w14:paraId="399CA291" w14:textId="77777777" w:rsidR="000F16C4" w:rsidRPr="00196044" w:rsidRDefault="000F16C4" w:rsidP="000972AF">
            <w:pPr>
              <w:keepNext/>
              <w:spacing w:after="0"/>
              <w:jc w:val="right"/>
              <w:rPr>
                <w:szCs w:val="24"/>
                <w:lang w:val="en-US"/>
              </w:rPr>
            </w:pPr>
            <w:r w:rsidRPr="00196044">
              <w:rPr>
                <w:szCs w:val="24"/>
                <w:lang w:val="en-US"/>
              </w:rPr>
              <w:t>7.9</w:t>
            </w:r>
          </w:p>
        </w:tc>
      </w:tr>
      <w:tr w:rsidR="000F16C4" w:rsidRPr="00196044" w14:paraId="5EBFD2FD" w14:textId="77777777" w:rsidTr="000972AF">
        <w:tc>
          <w:tcPr>
            <w:tcW w:w="4820" w:type="dxa"/>
          </w:tcPr>
          <w:p w14:paraId="52E224AE" w14:textId="77777777" w:rsidR="000F16C4" w:rsidRPr="00196044" w:rsidRDefault="000F16C4" w:rsidP="000972AF">
            <w:pPr>
              <w:keepNext/>
              <w:spacing w:after="0"/>
              <w:rPr>
                <w:szCs w:val="24"/>
                <w:lang w:val="en-US"/>
              </w:rPr>
            </w:pPr>
            <w:r w:rsidRPr="00196044">
              <w:rPr>
                <w:szCs w:val="24"/>
                <w:lang w:val="en-US"/>
              </w:rPr>
              <w:t>Trade</w:t>
            </w:r>
          </w:p>
        </w:tc>
        <w:tc>
          <w:tcPr>
            <w:tcW w:w="1063" w:type="dxa"/>
          </w:tcPr>
          <w:p w14:paraId="48A60060" w14:textId="77777777" w:rsidR="000F16C4" w:rsidRPr="00196044" w:rsidRDefault="000F16C4" w:rsidP="000972AF">
            <w:pPr>
              <w:keepNext/>
              <w:spacing w:after="0"/>
              <w:jc w:val="right"/>
              <w:rPr>
                <w:szCs w:val="24"/>
                <w:lang w:val="en-US"/>
              </w:rPr>
            </w:pPr>
            <w:r w:rsidRPr="00196044">
              <w:rPr>
                <w:szCs w:val="24"/>
                <w:lang w:val="en-US"/>
              </w:rPr>
              <w:t>233</w:t>
            </w:r>
          </w:p>
        </w:tc>
        <w:tc>
          <w:tcPr>
            <w:tcW w:w="1063" w:type="dxa"/>
          </w:tcPr>
          <w:p w14:paraId="2369428F" w14:textId="77777777" w:rsidR="000F16C4" w:rsidRPr="00196044" w:rsidRDefault="000F16C4" w:rsidP="000972AF">
            <w:pPr>
              <w:keepNext/>
              <w:spacing w:after="0"/>
              <w:jc w:val="right"/>
              <w:rPr>
                <w:szCs w:val="24"/>
                <w:lang w:val="en-US"/>
              </w:rPr>
            </w:pPr>
            <w:r w:rsidRPr="00196044">
              <w:rPr>
                <w:szCs w:val="24"/>
                <w:lang w:val="en-US"/>
              </w:rPr>
              <w:t>7.2</w:t>
            </w:r>
          </w:p>
        </w:tc>
        <w:tc>
          <w:tcPr>
            <w:tcW w:w="1063" w:type="dxa"/>
          </w:tcPr>
          <w:p w14:paraId="182B4011" w14:textId="77777777" w:rsidR="000F16C4" w:rsidRPr="00196044" w:rsidRDefault="000F16C4" w:rsidP="000972AF">
            <w:pPr>
              <w:keepNext/>
              <w:spacing w:after="0"/>
              <w:jc w:val="right"/>
              <w:rPr>
                <w:szCs w:val="24"/>
                <w:lang w:val="en-US"/>
              </w:rPr>
            </w:pPr>
            <w:r w:rsidRPr="00196044">
              <w:rPr>
                <w:szCs w:val="24"/>
                <w:lang w:val="en-US"/>
              </w:rPr>
              <w:t>268</w:t>
            </w:r>
          </w:p>
        </w:tc>
        <w:tc>
          <w:tcPr>
            <w:tcW w:w="1063" w:type="dxa"/>
          </w:tcPr>
          <w:p w14:paraId="4E459707" w14:textId="77777777" w:rsidR="000F16C4" w:rsidRPr="00196044" w:rsidRDefault="000F16C4" w:rsidP="000972AF">
            <w:pPr>
              <w:keepNext/>
              <w:spacing w:after="0"/>
              <w:jc w:val="right"/>
              <w:rPr>
                <w:szCs w:val="24"/>
                <w:lang w:val="en-US"/>
              </w:rPr>
            </w:pPr>
            <w:r w:rsidRPr="00196044">
              <w:rPr>
                <w:szCs w:val="24"/>
                <w:lang w:val="en-US"/>
              </w:rPr>
              <w:t>8.5</w:t>
            </w:r>
          </w:p>
        </w:tc>
      </w:tr>
      <w:tr w:rsidR="000F16C4" w:rsidRPr="00196044" w14:paraId="2BB24E38" w14:textId="77777777" w:rsidTr="000972AF">
        <w:tc>
          <w:tcPr>
            <w:tcW w:w="4820" w:type="dxa"/>
          </w:tcPr>
          <w:p w14:paraId="000E1FE3" w14:textId="77777777" w:rsidR="000F16C4" w:rsidRPr="00196044" w:rsidRDefault="000F16C4" w:rsidP="000972AF">
            <w:pPr>
              <w:keepNext/>
              <w:spacing w:after="0"/>
              <w:rPr>
                <w:szCs w:val="24"/>
                <w:lang w:val="en-US"/>
              </w:rPr>
            </w:pPr>
            <w:r w:rsidRPr="00196044">
              <w:rPr>
                <w:szCs w:val="24"/>
                <w:lang w:val="en-US"/>
              </w:rPr>
              <w:t>Transport and storage</w:t>
            </w:r>
          </w:p>
        </w:tc>
        <w:tc>
          <w:tcPr>
            <w:tcW w:w="1063" w:type="dxa"/>
          </w:tcPr>
          <w:p w14:paraId="38E9F120" w14:textId="77777777" w:rsidR="000F16C4" w:rsidRPr="00196044" w:rsidRDefault="000F16C4" w:rsidP="000972AF">
            <w:pPr>
              <w:keepNext/>
              <w:spacing w:after="0"/>
              <w:jc w:val="right"/>
              <w:rPr>
                <w:szCs w:val="24"/>
                <w:lang w:val="en-US"/>
              </w:rPr>
            </w:pPr>
            <w:r>
              <w:rPr>
                <w:szCs w:val="24"/>
                <w:lang w:val="en-US"/>
              </w:rPr>
              <w:t>220</w:t>
            </w:r>
          </w:p>
        </w:tc>
        <w:tc>
          <w:tcPr>
            <w:tcW w:w="1063" w:type="dxa"/>
          </w:tcPr>
          <w:p w14:paraId="01D4322B" w14:textId="77777777" w:rsidR="000F16C4" w:rsidRPr="00196044" w:rsidRDefault="000F16C4" w:rsidP="000972AF">
            <w:pPr>
              <w:keepNext/>
              <w:spacing w:after="0"/>
              <w:jc w:val="right"/>
              <w:rPr>
                <w:szCs w:val="24"/>
                <w:lang w:val="en-US"/>
              </w:rPr>
            </w:pPr>
            <w:r>
              <w:rPr>
                <w:szCs w:val="24"/>
                <w:lang w:val="en-US"/>
              </w:rPr>
              <w:t>6.8</w:t>
            </w:r>
          </w:p>
        </w:tc>
        <w:tc>
          <w:tcPr>
            <w:tcW w:w="1063" w:type="dxa"/>
          </w:tcPr>
          <w:p w14:paraId="44955F0E" w14:textId="77777777" w:rsidR="000F16C4" w:rsidRPr="00196044" w:rsidRDefault="000F16C4" w:rsidP="000972AF">
            <w:pPr>
              <w:keepNext/>
              <w:spacing w:after="0"/>
              <w:jc w:val="right"/>
              <w:rPr>
                <w:szCs w:val="24"/>
                <w:lang w:val="en-US"/>
              </w:rPr>
            </w:pPr>
            <w:r w:rsidRPr="00196044">
              <w:rPr>
                <w:szCs w:val="24"/>
                <w:lang w:val="en-US"/>
              </w:rPr>
              <w:t>218</w:t>
            </w:r>
          </w:p>
        </w:tc>
        <w:tc>
          <w:tcPr>
            <w:tcW w:w="1063" w:type="dxa"/>
          </w:tcPr>
          <w:p w14:paraId="316C8836" w14:textId="77777777" w:rsidR="000F16C4" w:rsidRPr="00196044" w:rsidRDefault="000F16C4" w:rsidP="000972AF">
            <w:pPr>
              <w:keepNext/>
              <w:spacing w:after="0"/>
              <w:jc w:val="right"/>
              <w:rPr>
                <w:szCs w:val="24"/>
                <w:lang w:val="en-US"/>
              </w:rPr>
            </w:pPr>
            <w:r w:rsidRPr="00196044">
              <w:rPr>
                <w:szCs w:val="24"/>
                <w:lang w:val="en-US"/>
              </w:rPr>
              <w:t>6.9</w:t>
            </w:r>
          </w:p>
        </w:tc>
      </w:tr>
      <w:tr w:rsidR="000F16C4" w:rsidRPr="00196044" w14:paraId="73D98DB4" w14:textId="77777777" w:rsidTr="000972AF">
        <w:tc>
          <w:tcPr>
            <w:tcW w:w="4820" w:type="dxa"/>
          </w:tcPr>
          <w:p w14:paraId="726F8292" w14:textId="77777777" w:rsidR="000F16C4" w:rsidRPr="00196044" w:rsidRDefault="000F16C4" w:rsidP="000972AF">
            <w:pPr>
              <w:keepNext/>
              <w:spacing w:after="0"/>
              <w:rPr>
                <w:szCs w:val="24"/>
                <w:lang w:val="en-US"/>
              </w:rPr>
            </w:pPr>
            <w:r w:rsidRPr="00196044">
              <w:rPr>
                <w:szCs w:val="24"/>
                <w:lang w:val="en-US"/>
              </w:rPr>
              <w:t>Information and communications</w:t>
            </w:r>
          </w:p>
        </w:tc>
        <w:tc>
          <w:tcPr>
            <w:tcW w:w="1063" w:type="dxa"/>
          </w:tcPr>
          <w:p w14:paraId="3AF11F23" w14:textId="77777777" w:rsidR="000F16C4" w:rsidRPr="00196044" w:rsidRDefault="000F16C4" w:rsidP="000972AF">
            <w:pPr>
              <w:keepNext/>
              <w:spacing w:after="0"/>
              <w:jc w:val="right"/>
              <w:rPr>
                <w:szCs w:val="24"/>
                <w:lang w:val="en-US"/>
              </w:rPr>
            </w:pPr>
            <w:r w:rsidRPr="00196044">
              <w:rPr>
                <w:szCs w:val="24"/>
                <w:lang w:val="en-US"/>
              </w:rPr>
              <w:t>438</w:t>
            </w:r>
          </w:p>
        </w:tc>
        <w:tc>
          <w:tcPr>
            <w:tcW w:w="1063" w:type="dxa"/>
          </w:tcPr>
          <w:p w14:paraId="4F44648B" w14:textId="77777777" w:rsidR="000F16C4" w:rsidRPr="00196044" w:rsidRDefault="000F16C4" w:rsidP="000972AF">
            <w:pPr>
              <w:keepNext/>
              <w:spacing w:after="0"/>
              <w:jc w:val="right"/>
              <w:rPr>
                <w:szCs w:val="24"/>
                <w:lang w:val="en-US"/>
              </w:rPr>
            </w:pPr>
            <w:r w:rsidRPr="00196044">
              <w:rPr>
                <w:szCs w:val="24"/>
                <w:lang w:val="en-US"/>
              </w:rPr>
              <w:t>13.6</w:t>
            </w:r>
          </w:p>
        </w:tc>
        <w:tc>
          <w:tcPr>
            <w:tcW w:w="1063" w:type="dxa"/>
          </w:tcPr>
          <w:p w14:paraId="0DD218BE" w14:textId="77777777" w:rsidR="000F16C4" w:rsidRPr="00196044" w:rsidRDefault="000F16C4" w:rsidP="000972AF">
            <w:pPr>
              <w:keepNext/>
              <w:spacing w:after="0"/>
              <w:jc w:val="right"/>
              <w:rPr>
                <w:szCs w:val="24"/>
                <w:lang w:val="en-US"/>
              </w:rPr>
            </w:pPr>
            <w:r w:rsidRPr="00196044">
              <w:rPr>
                <w:szCs w:val="24"/>
                <w:lang w:val="en-US"/>
              </w:rPr>
              <w:t>422</w:t>
            </w:r>
          </w:p>
        </w:tc>
        <w:tc>
          <w:tcPr>
            <w:tcW w:w="1063" w:type="dxa"/>
          </w:tcPr>
          <w:p w14:paraId="500BE83F" w14:textId="77777777" w:rsidR="000F16C4" w:rsidRPr="00196044" w:rsidRDefault="000F16C4" w:rsidP="000972AF">
            <w:pPr>
              <w:keepNext/>
              <w:spacing w:after="0"/>
              <w:jc w:val="right"/>
              <w:rPr>
                <w:szCs w:val="24"/>
                <w:lang w:val="en-US"/>
              </w:rPr>
            </w:pPr>
            <w:r w:rsidRPr="00196044">
              <w:rPr>
                <w:szCs w:val="24"/>
                <w:lang w:val="en-US"/>
              </w:rPr>
              <w:t>13.3</w:t>
            </w:r>
          </w:p>
        </w:tc>
      </w:tr>
      <w:tr w:rsidR="000F16C4" w:rsidRPr="00196044" w14:paraId="096A59A3" w14:textId="77777777" w:rsidTr="000972AF">
        <w:tc>
          <w:tcPr>
            <w:tcW w:w="4820" w:type="dxa"/>
          </w:tcPr>
          <w:p w14:paraId="7C1E23E7" w14:textId="77777777" w:rsidR="000F16C4" w:rsidRPr="00196044" w:rsidRDefault="000F16C4" w:rsidP="000972AF">
            <w:pPr>
              <w:keepNext/>
              <w:spacing w:after="0"/>
              <w:rPr>
                <w:szCs w:val="24"/>
                <w:lang w:val="en-US"/>
              </w:rPr>
            </w:pPr>
            <w:r w:rsidRPr="00196044">
              <w:rPr>
                <w:szCs w:val="24"/>
                <w:lang w:val="en-US"/>
              </w:rPr>
              <w:t>Financial services</w:t>
            </w:r>
          </w:p>
        </w:tc>
        <w:tc>
          <w:tcPr>
            <w:tcW w:w="1063" w:type="dxa"/>
          </w:tcPr>
          <w:p w14:paraId="2B545C51" w14:textId="77777777" w:rsidR="000F16C4" w:rsidRPr="00196044" w:rsidRDefault="000F16C4" w:rsidP="000972AF">
            <w:pPr>
              <w:keepNext/>
              <w:spacing w:after="0"/>
              <w:jc w:val="right"/>
              <w:rPr>
                <w:szCs w:val="24"/>
                <w:lang w:val="en-US"/>
              </w:rPr>
            </w:pPr>
            <w:r w:rsidRPr="00196044">
              <w:rPr>
                <w:szCs w:val="24"/>
                <w:lang w:val="en-US"/>
              </w:rPr>
              <w:t>163</w:t>
            </w:r>
          </w:p>
        </w:tc>
        <w:tc>
          <w:tcPr>
            <w:tcW w:w="1063" w:type="dxa"/>
          </w:tcPr>
          <w:p w14:paraId="5E664B97" w14:textId="77777777" w:rsidR="000F16C4" w:rsidRPr="00196044" w:rsidRDefault="000F16C4" w:rsidP="000972AF">
            <w:pPr>
              <w:keepNext/>
              <w:spacing w:after="0"/>
              <w:jc w:val="right"/>
              <w:rPr>
                <w:szCs w:val="24"/>
                <w:lang w:val="en-US"/>
              </w:rPr>
            </w:pPr>
            <w:r w:rsidRPr="00196044">
              <w:rPr>
                <w:szCs w:val="24"/>
                <w:lang w:val="en-US"/>
              </w:rPr>
              <w:t>5.1</w:t>
            </w:r>
          </w:p>
        </w:tc>
        <w:tc>
          <w:tcPr>
            <w:tcW w:w="1063" w:type="dxa"/>
          </w:tcPr>
          <w:p w14:paraId="156EDA97" w14:textId="77777777" w:rsidR="000F16C4" w:rsidRPr="00196044" w:rsidRDefault="000F16C4" w:rsidP="000972AF">
            <w:pPr>
              <w:keepNext/>
              <w:spacing w:after="0"/>
              <w:jc w:val="right"/>
              <w:rPr>
                <w:szCs w:val="24"/>
                <w:lang w:val="en-US"/>
              </w:rPr>
            </w:pPr>
            <w:r w:rsidRPr="00196044">
              <w:rPr>
                <w:szCs w:val="24"/>
                <w:lang w:val="en-US"/>
              </w:rPr>
              <w:t>169</w:t>
            </w:r>
          </w:p>
        </w:tc>
        <w:tc>
          <w:tcPr>
            <w:tcW w:w="1063" w:type="dxa"/>
          </w:tcPr>
          <w:p w14:paraId="58C49A90" w14:textId="77777777" w:rsidR="000F16C4" w:rsidRPr="00196044" w:rsidRDefault="000F16C4" w:rsidP="000972AF">
            <w:pPr>
              <w:keepNext/>
              <w:spacing w:after="0"/>
              <w:jc w:val="right"/>
              <w:rPr>
                <w:szCs w:val="24"/>
                <w:lang w:val="en-US"/>
              </w:rPr>
            </w:pPr>
            <w:r w:rsidRPr="00196044">
              <w:rPr>
                <w:szCs w:val="24"/>
                <w:lang w:val="en-US"/>
              </w:rPr>
              <w:t>5.3</w:t>
            </w:r>
          </w:p>
        </w:tc>
      </w:tr>
      <w:tr w:rsidR="000F16C4" w:rsidRPr="00196044" w14:paraId="398BCE9E" w14:textId="77777777" w:rsidTr="000972AF">
        <w:tc>
          <w:tcPr>
            <w:tcW w:w="4820" w:type="dxa"/>
          </w:tcPr>
          <w:p w14:paraId="4FFD7517" w14:textId="77777777" w:rsidR="000F16C4" w:rsidRPr="00196044" w:rsidRDefault="000F16C4" w:rsidP="000972AF">
            <w:pPr>
              <w:keepNext/>
              <w:spacing w:after="0"/>
              <w:rPr>
                <w:szCs w:val="24"/>
                <w:lang w:val="en-US"/>
              </w:rPr>
            </w:pPr>
            <w:r w:rsidRPr="00196044">
              <w:rPr>
                <w:szCs w:val="24"/>
                <w:lang w:val="en-US"/>
              </w:rPr>
              <w:t>Other services</w:t>
            </w:r>
          </w:p>
        </w:tc>
        <w:tc>
          <w:tcPr>
            <w:tcW w:w="1063" w:type="dxa"/>
          </w:tcPr>
          <w:p w14:paraId="4981DA02" w14:textId="77777777" w:rsidR="000F16C4" w:rsidRPr="00196044" w:rsidRDefault="000F16C4" w:rsidP="000972AF">
            <w:pPr>
              <w:keepNext/>
              <w:spacing w:after="0"/>
              <w:jc w:val="right"/>
              <w:rPr>
                <w:szCs w:val="24"/>
                <w:lang w:val="en-US"/>
              </w:rPr>
            </w:pPr>
            <w:r w:rsidRPr="00196044">
              <w:rPr>
                <w:szCs w:val="24"/>
                <w:lang w:val="en-US"/>
              </w:rPr>
              <w:t>271</w:t>
            </w:r>
          </w:p>
        </w:tc>
        <w:tc>
          <w:tcPr>
            <w:tcW w:w="1063" w:type="dxa"/>
          </w:tcPr>
          <w:p w14:paraId="159552B9" w14:textId="77777777" w:rsidR="000F16C4" w:rsidRPr="00196044" w:rsidRDefault="000F16C4" w:rsidP="000972AF">
            <w:pPr>
              <w:keepNext/>
              <w:spacing w:after="0"/>
              <w:jc w:val="right"/>
              <w:rPr>
                <w:szCs w:val="24"/>
                <w:lang w:val="en-US"/>
              </w:rPr>
            </w:pPr>
            <w:r w:rsidRPr="00196044">
              <w:rPr>
                <w:szCs w:val="24"/>
                <w:lang w:val="en-US"/>
              </w:rPr>
              <w:t>8.4</w:t>
            </w:r>
          </w:p>
        </w:tc>
        <w:tc>
          <w:tcPr>
            <w:tcW w:w="1063" w:type="dxa"/>
          </w:tcPr>
          <w:p w14:paraId="1C934E70" w14:textId="77777777" w:rsidR="000F16C4" w:rsidRPr="00196044" w:rsidRDefault="000F16C4" w:rsidP="000972AF">
            <w:pPr>
              <w:keepNext/>
              <w:spacing w:after="0"/>
              <w:jc w:val="right"/>
              <w:rPr>
                <w:szCs w:val="24"/>
                <w:lang w:val="en-US"/>
              </w:rPr>
            </w:pPr>
            <w:r w:rsidRPr="00196044">
              <w:rPr>
                <w:szCs w:val="24"/>
                <w:lang w:val="en-US"/>
              </w:rPr>
              <w:t>292</w:t>
            </w:r>
          </w:p>
        </w:tc>
        <w:tc>
          <w:tcPr>
            <w:tcW w:w="1063" w:type="dxa"/>
          </w:tcPr>
          <w:p w14:paraId="5A34E040" w14:textId="77777777" w:rsidR="000F16C4" w:rsidRPr="00196044" w:rsidRDefault="000F16C4" w:rsidP="000972AF">
            <w:pPr>
              <w:keepNext/>
              <w:spacing w:after="0"/>
              <w:jc w:val="right"/>
              <w:rPr>
                <w:szCs w:val="24"/>
                <w:lang w:val="en-US"/>
              </w:rPr>
            </w:pPr>
            <w:r w:rsidRPr="00196044">
              <w:rPr>
                <w:szCs w:val="24"/>
                <w:lang w:val="en-US"/>
              </w:rPr>
              <w:t>9.2</w:t>
            </w:r>
          </w:p>
        </w:tc>
      </w:tr>
      <w:tr w:rsidR="000F16C4" w:rsidRPr="00196044" w14:paraId="69E9C848" w14:textId="77777777" w:rsidTr="000972AF">
        <w:tc>
          <w:tcPr>
            <w:tcW w:w="4820" w:type="dxa"/>
            <w:tcBorders>
              <w:bottom w:val="single" w:sz="4" w:space="0" w:color="auto"/>
            </w:tcBorders>
          </w:tcPr>
          <w:p w14:paraId="4382554C" w14:textId="77777777" w:rsidR="000F16C4" w:rsidRPr="00196044" w:rsidRDefault="000F16C4" w:rsidP="000972AF">
            <w:pPr>
              <w:keepNext/>
              <w:spacing w:after="0"/>
              <w:rPr>
                <w:szCs w:val="24"/>
                <w:lang w:val="en-US"/>
              </w:rPr>
            </w:pPr>
          </w:p>
        </w:tc>
        <w:tc>
          <w:tcPr>
            <w:tcW w:w="1063" w:type="dxa"/>
            <w:tcBorders>
              <w:bottom w:val="single" w:sz="4" w:space="0" w:color="auto"/>
            </w:tcBorders>
          </w:tcPr>
          <w:p w14:paraId="7A0F0C8A" w14:textId="77777777" w:rsidR="000F16C4" w:rsidRPr="00196044" w:rsidRDefault="000F16C4" w:rsidP="000972AF">
            <w:pPr>
              <w:keepNext/>
              <w:spacing w:after="0"/>
              <w:rPr>
                <w:szCs w:val="24"/>
                <w:lang w:val="en-US"/>
              </w:rPr>
            </w:pPr>
          </w:p>
        </w:tc>
        <w:tc>
          <w:tcPr>
            <w:tcW w:w="1063" w:type="dxa"/>
            <w:tcBorders>
              <w:bottom w:val="single" w:sz="4" w:space="0" w:color="auto"/>
            </w:tcBorders>
          </w:tcPr>
          <w:p w14:paraId="2E60F25C" w14:textId="77777777" w:rsidR="000F16C4" w:rsidRPr="00196044" w:rsidRDefault="000F16C4" w:rsidP="000972AF">
            <w:pPr>
              <w:keepNext/>
              <w:spacing w:after="0"/>
              <w:rPr>
                <w:szCs w:val="24"/>
                <w:lang w:val="en-US"/>
              </w:rPr>
            </w:pPr>
          </w:p>
        </w:tc>
        <w:tc>
          <w:tcPr>
            <w:tcW w:w="1063" w:type="dxa"/>
            <w:tcBorders>
              <w:bottom w:val="single" w:sz="4" w:space="0" w:color="auto"/>
            </w:tcBorders>
          </w:tcPr>
          <w:p w14:paraId="583E805F" w14:textId="77777777" w:rsidR="000F16C4" w:rsidRPr="00196044" w:rsidRDefault="000F16C4" w:rsidP="000972AF">
            <w:pPr>
              <w:keepNext/>
              <w:spacing w:after="0"/>
              <w:rPr>
                <w:szCs w:val="24"/>
                <w:lang w:val="en-US"/>
              </w:rPr>
            </w:pPr>
          </w:p>
        </w:tc>
        <w:tc>
          <w:tcPr>
            <w:tcW w:w="1063" w:type="dxa"/>
            <w:tcBorders>
              <w:bottom w:val="single" w:sz="4" w:space="0" w:color="auto"/>
            </w:tcBorders>
          </w:tcPr>
          <w:p w14:paraId="70CFAB41" w14:textId="77777777" w:rsidR="000F16C4" w:rsidRPr="00196044" w:rsidRDefault="000F16C4" w:rsidP="000972AF">
            <w:pPr>
              <w:keepNext/>
              <w:spacing w:after="0"/>
              <w:rPr>
                <w:szCs w:val="24"/>
                <w:lang w:val="en-US"/>
              </w:rPr>
            </w:pPr>
          </w:p>
        </w:tc>
      </w:tr>
      <w:tr w:rsidR="000F16C4" w:rsidRPr="00196044" w14:paraId="461F6B22" w14:textId="77777777" w:rsidTr="000972AF">
        <w:tc>
          <w:tcPr>
            <w:tcW w:w="4820" w:type="dxa"/>
            <w:tcBorders>
              <w:top w:val="single" w:sz="4" w:space="0" w:color="auto"/>
              <w:bottom w:val="single" w:sz="4" w:space="0" w:color="auto"/>
            </w:tcBorders>
          </w:tcPr>
          <w:p w14:paraId="48B5731C" w14:textId="77777777" w:rsidR="000F16C4" w:rsidRPr="00196044" w:rsidRDefault="000F16C4" w:rsidP="000972AF">
            <w:pPr>
              <w:keepNext/>
              <w:spacing w:after="0"/>
              <w:rPr>
                <w:i/>
                <w:szCs w:val="24"/>
                <w:lang w:val="en-US"/>
              </w:rPr>
            </w:pPr>
            <w:r w:rsidRPr="00196044">
              <w:rPr>
                <w:i/>
                <w:szCs w:val="24"/>
                <w:lang w:val="en-US"/>
              </w:rPr>
              <w:t>Total N</w:t>
            </w:r>
          </w:p>
        </w:tc>
        <w:tc>
          <w:tcPr>
            <w:tcW w:w="1063" w:type="dxa"/>
            <w:tcBorders>
              <w:top w:val="single" w:sz="4" w:space="0" w:color="auto"/>
              <w:bottom w:val="single" w:sz="4" w:space="0" w:color="auto"/>
            </w:tcBorders>
          </w:tcPr>
          <w:p w14:paraId="740DC3CC" w14:textId="77777777" w:rsidR="000F16C4" w:rsidRPr="00196044" w:rsidRDefault="000F16C4" w:rsidP="000972AF">
            <w:pPr>
              <w:keepNext/>
              <w:spacing w:after="0"/>
              <w:rPr>
                <w:szCs w:val="24"/>
                <w:lang w:val="en-US"/>
              </w:rPr>
            </w:pPr>
            <w:r>
              <w:rPr>
                <w:szCs w:val="24"/>
                <w:lang w:val="en-US"/>
              </w:rPr>
              <w:t>3216</w:t>
            </w:r>
          </w:p>
        </w:tc>
        <w:tc>
          <w:tcPr>
            <w:tcW w:w="1063" w:type="dxa"/>
            <w:tcBorders>
              <w:top w:val="single" w:sz="4" w:space="0" w:color="auto"/>
              <w:bottom w:val="single" w:sz="4" w:space="0" w:color="auto"/>
            </w:tcBorders>
          </w:tcPr>
          <w:p w14:paraId="4F1D6604" w14:textId="77777777" w:rsidR="000F16C4" w:rsidRPr="00196044" w:rsidRDefault="000F16C4" w:rsidP="000972AF">
            <w:pPr>
              <w:keepNext/>
              <w:spacing w:after="0"/>
              <w:rPr>
                <w:szCs w:val="24"/>
                <w:lang w:val="en-US"/>
              </w:rPr>
            </w:pPr>
          </w:p>
        </w:tc>
        <w:tc>
          <w:tcPr>
            <w:tcW w:w="1063" w:type="dxa"/>
            <w:tcBorders>
              <w:top w:val="single" w:sz="4" w:space="0" w:color="auto"/>
              <w:bottom w:val="single" w:sz="4" w:space="0" w:color="auto"/>
            </w:tcBorders>
          </w:tcPr>
          <w:p w14:paraId="35DF7980" w14:textId="77777777" w:rsidR="000F16C4" w:rsidRPr="00196044" w:rsidRDefault="000F16C4" w:rsidP="000972AF">
            <w:pPr>
              <w:keepNext/>
              <w:spacing w:after="0"/>
              <w:rPr>
                <w:szCs w:val="24"/>
                <w:lang w:val="en-US"/>
              </w:rPr>
            </w:pPr>
            <w:r w:rsidRPr="00196044">
              <w:rPr>
                <w:szCs w:val="24"/>
                <w:lang w:val="en-US"/>
              </w:rPr>
              <w:t>3166</w:t>
            </w:r>
          </w:p>
        </w:tc>
        <w:tc>
          <w:tcPr>
            <w:tcW w:w="1063" w:type="dxa"/>
            <w:tcBorders>
              <w:top w:val="single" w:sz="4" w:space="0" w:color="auto"/>
              <w:bottom w:val="single" w:sz="4" w:space="0" w:color="auto"/>
            </w:tcBorders>
          </w:tcPr>
          <w:p w14:paraId="5944F95E" w14:textId="77777777" w:rsidR="000F16C4" w:rsidRPr="00196044" w:rsidRDefault="000F16C4" w:rsidP="000972AF">
            <w:pPr>
              <w:keepNext/>
              <w:spacing w:after="0"/>
              <w:rPr>
                <w:szCs w:val="24"/>
                <w:lang w:val="en-US"/>
              </w:rPr>
            </w:pPr>
          </w:p>
        </w:tc>
      </w:tr>
    </w:tbl>
    <w:p w14:paraId="3E5DC4FA" w14:textId="77777777" w:rsidR="000F16C4" w:rsidRPr="002156BB" w:rsidRDefault="000F16C4" w:rsidP="000F16C4">
      <w:pPr>
        <w:pStyle w:val="Heading2"/>
        <w:spacing w:before="0" w:line="240" w:lineRule="auto"/>
        <w:ind w:left="284" w:hanging="284"/>
        <w:rPr>
          <w:rFonts w:ascii="Times New Roman" w:hAnsi="Times New Roman"/>
          <w:b w:val="0"/>
          <w:sz w:val="24"/>
          <w:szCs w:val="24"/>
          <w:lang w:val="en-US"/>
        </w:rPr>
      </w:pPr>
    </w:p>
    <w:p w14:paraId="2E5A8B8E" w14:textId="77777777" w:rsidR="000F16C4" w:rsidRDefault="000F16C4" w:rsidP="000F16C4">
      <w:pPr>
        <w:spacing w:line="259" w:lineRule="auto"/>
        <w:rPr>
          <w:rFonts w:ascii="Trebuchet MS" w:hAnsi="Trebuchet MS"/>
          <w:sz w:val="20"/>
        </w:rPr>
      </w:pPr>
      <w:r>
        <w:rPr>
          <w:rFonts w:ascii="Trebuchet MS" w:hAnsi="Trebuchet MS"/>
          <w:sz w:val="20"/>
        </w:rPr>
        <w:br w:type="page"/>
      </w:r>
    </w:p>
    <w:p w14:paraId="62A88D2B" w14:textId="77777777" w:rsidR="000F16C4" w:rsidRPr="007454D6" w:rsidRDefault="000F16C4" w:rsidP="000F16C4">
      <w:pPr>
        <w:rPr>
          <w:b/>
          <w:szCs w:val="24"/>
        </w:rPr>
      </w:pPr>
      <w:r>
        <w:rPr>
          <w:b/>
          <w:szCs w:val="24"/>
        </w:rPr>
        <w:lastRenderedPageBreak/>
        <w:t>Appendix Table A.2: Correlation matrix</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0"/>
        <w:gridCol w:w="793"/>
        <w:gridCol w:w="793"/>
        <w:gridCol w:w="843"/>
        <w:gridCol w:w="844"/>
        <w:gridCol w:w="843"/>
        <w:gridCol w:w="844"/>
        <w:gridCol w:w="843"/>
        <w:gridCol w:w="844"/>
        <w:gridCol w:w="843"/>
        <w:gridCol w:w="844"/>
      </w:tblGrid>
      <w:tr w:rsidR="000F16C4" w14:paraId="2C33B8C7" w14:textId="77777777" w:rsidTr="000972AF">
        <w:tc>
          <w:tcPr>
            <w:tcW w:w="1130" w:type="dxa"/>
            <w:tcBorders>
              <w:bottom w:val="single" w:sz="4" w:space="0" w:color="auto"/>
            </w:tcBorders>
          </w:tcPr>
          <w:p w14:paraId="773C8881" w14:textId="77777777" w:rsidR="000F16C4" w:rsidRPr="00956C7B" w:rsidRDefault="000F16C4" w:rsidP="000972AF">
            <w:pPr>
              <w:rPr>
                <w:sz w:val="24"/>
                <w:szCs w:val="24"/>
              </w:rPr>
            </w:pPr>
          </w:p>
        </w:tc>
        <w:tc>
          <w:tcPr>
            <w:tcW w:w="793" w:type="dxa"/>
            <w:tcBorders>
              <w:bottom w:val="single" w:sz="4" w:space="0" w:color="auto"/>
            </w:tcBorders>
          </w:tcPr>
          <w:p w14:paraId="684DAD8E" w14:textId="77777777" w:rsidR="000F16C4" w:rsidRPr="00956C7B" w:rsidRDefault="000F16C4" w:rsidP="000972AF">
            <w:pPr>
              <w:rPr>
                <w:sz w:val="24"/>
                <w:szCs w:val="24"/>
              </w:rPr>
            </w:pPr>
            <w:r w:rsidRPr="00956C7B">
              <w:rPr>
                <w:sz w:val="24"/>
                <w:szCs w:val="24"/>
              </w:rPr>
              <w:t>Mean</w:t>
            </w:r>
          </w:p>
        </w:tc>
        <w:tc>
          <w:tcPr>
            <w:tcW w:w="793" w:type="dxa"/>
            <w:tcBorders>
              <w:bottom w:val="single" w:sz="4" w:space="0" w:color="auto"/>
            </w:tcBorders>
          </w:tcPr>
          <w:p w14:paraId="0708019F" w14:textId="77777777" w:rsidR="000F16C4" w:rsidRPr="00956C7B" w:rsidRDefault="000F16C4" w:rsidP="000972AF">
            <w:pPr>
              <w:rPr>
                <w:sz w:val="24"/>
                <w:szCs w:val="24"/>
              </w:rPr>
            </w:pPr>
            <w:r w:rsidRPr="00956C7B">
              <w:rPr>
                <w:sz w:val="24"/>
                <w:szCs w:val="24"/>
              </w:rPr>
              <w:t>SD</w:t>
            </w:r>
          </w:p>
        </w:tc>
        <w:tc>
          <w:tcPr>
            <w:tcW w:w="843" w:type="dxa"/>
            <w:tcBorders>
              <w:bottom w:val="single" w:sz="4" w:space="0" w:color="auto"/>
            </w:tcBorders>
          </w:tcPr>
          <w:p w14:paraId="5932ECDA" w14:textId="77777777" w:rsidR="000F16C4" w:rsidRPr="00956C7B" w:rsidRDefault="000F16C4" w:rsidP="000972AF">
            <w:pPr>
              <w:rPr>
                <w:sz w:val="18"/>
                <w:szCs w:val="24"/>
              </w:rPr>
            </w:pPr>
            <w:r>
              <w:rPr>
                <w:sz w:val="18"/>
                <w:szCs w:val="24"/>
              </w:rPr>
              <w:t xml:space="preserve">Reg. </w:t>
            </w:r>
            <w:r w:rsidRPr="00956C7B">
              <w:rPr>
                <w:sz w:val="18"/>
                <w:szCs w:val="24"/>
              </w:rPr>
              <w:t>partners</w:t>
            </w:r>
          </w:p>
        </w:tc>
        <w:tc>
          <w:tcPr>
            <w:tcW w:w="844" w:type="dxa"/>
            <w:tcBorders>
              <w:bottom w:val="single" w:sz="4" w:space="0" w:color="auto"/>
            </w:tcBorders>
          </w:tcPr>
          <w:p w14:paraId="11B55AF6" w14:textId="77777777" w:rsidR="000F16C4" w:rsidRPr="00956C7B" w:rsidRDefault="000F16C4" w:rsidP="000972AF">
            <w:pPr>
              <w:rPr>
                <w:sz w:val="18"/>
                <w:szCs w:val="24"/>
              </w:rPr>
            </w:pPr>
            <w:r w:rsidRPr="00956C7B">
              <w:rPr>
                <w:sz w:val="18"/>
                <w:szCs w:val="24"/>
              </w:rPr>
              <w:t>National partners</w:t>
            </w:r>
          </w:p>
        </w:tc>
        <w:tc>
          <w:tcPr>
            <w:tcW w:w="843" w:type="dxa"/>
            <w:tcBorders>
              <w:bottom w:val="single" w:sz="4" w:space="0" w:color="auto"/>
            </w:tcBorders>
          </w:tcPr>
          <w:p w14:paraId="756F5B31" w14:textId="77777777" w:rsidR="000F16C4" w:rsidRPr="00956C7B" w:rsidRDefault="000F16C4" w:rsidP="000972AF">
            <w:pPr>
              <w:rPr>
                <w:sz w:val="18"/>
                <w:szCs w:val="24"/>
              </w:rPr>
            </w:pPr>
            <w:r w:rsidRPr="00956C7B">
              <w:rPr>
                <w:sz w:val="18"/>
                <w:szCs w:val="24"/>
              </w:rPr>
              <w:t>Foreign partners</w:t>
            </w:r>
          </w:p>
        </w:tc>
        <w:tc>
          <w:tcPr>
            <w:tcW w:w="844" w:type="dxa"/>
            <w:tcBorders>
              <w:bottom w:val="single" w:sz="4" w:space="0" w:color="auto"/>
            </w:tcBorders>
          </w:tcPr>
          <w:p w14:paraId="4C0A601C" w14:textId="77777777" w:rsidR="000F16C4" w:rsidRPr="00956C7B" w:rsidRDefault="000F16C4" w:rsidP="000972AF">
            <w:pPr>
              <w:rPr>
                <w:sz w:val="18"/>
                <w:szCs w:val="24"/>
              </w:rPr>
            </w:pPr>
            <w:r w:rsidRPr="00956C7B">
              <w:rPr>
                <w:sz w:val="18"/>
                <w:szCs w:val="24"/>
              </w:rPr>
              <w:t>Big city</w:t>
            </w:r>
          </w:p>
        </w:tc>
        <w:tc>
          <w:tcPr>
            <w:tcW w:w="843" w:type="dxa"/>
            <w:tcBorders>
              <w:bottom w:val="single" w:sz="4" w:space="0" w:color="auto"/>
            </w:tcBorders>
          </w:tcPr>
          <w:p w14:paraId="4515EF02" w14:textId="77777777" w:rsidR="000F16C4" w:rsidRPr="00956C7B" w:rsidRDefault="000F16C4" w:rsidP="000972AF">
            <w:pPr>
              <w:rPr>
                <w:sz w:val="18"/>
                <w:szCs w:val="24"/>
              </w:rPr>
            </w:pPr>
            <w:r w:rsidRPr="00956C7B">
              <w:rPr>
                <w:sz w:val="18"/>
                <w:szCs w:val="24"/>
              </w:rPr>
              <w:t>Medium city</w:t>
            </w:r>
          </w:p>
        </w:tc>
        <w:tc>
          <w:tcPr>
            <w:tcW w:w="844" w:type="dxa"/>
            <w:tcBorders>
              <w:bottom w:val="single" w:sz="4" w:space="0" w:color="auto"/>
            </w:tcBorders>
          </w:tcPr>
          <w:p w14:paraId="757EFB96" w14:textId="77777777" w:rsidR="000F16C4" w:rsidRPr="00956C7B" w:rsidRDefault="000F16C4" w:rsidP="000972AF">
            <w:pPr>
              <w:rPr>
                <w:sz w:val="18"/>
                <w:szCs w:val="24"/>
              </w:rPr>
            </w:pPr>
            <w:r w:rsidRPr="00956C7B">
              <w:rPr>
                <w:sz w:val="18"/>
                <w:szCs w:val="24"/>
              </w:rPr>
              <w:t>Small city</w:t>
            </w:r>
          </w:p>
        </w:tc>
        <w:tc>
          <w:tcPr>
            <w:tcW w:w="843" w:type="dxa"/>
            <w:tcBorders>
              <w:bottom w:val="single" w:sz="4" w:space="0" w:color="auto"/>
            </w:tcBorders>
          </w:tcPr>
          <w:p w14:paraId="23869DDC" w14:textId="77777777" w:rsidR="000F16C4" w:rsidRPr="00956C7B" w:rsidRDefault="000F16C4" w:rsidP="000972AF">
            <w:pPr>
              <w:rPr>
                <w:sz w:val="18"/>
                <w:szCs w:val="24"/>
              </w:rPr>
            </w:pPr>
            <w:r w:rsidRPr="00956C7B">
              <w:rPr>
                <w:sz w:val="18"/>
                <w:szCs w:val="24"/>
              </w:rPr>
              <w:t>Log R&amp;D exp</w:t>
            </w:r>
          </w:p>
        </w:tc>
        <w:tc>
          <w:tcPr>
            <w:tcW w:w="844" w:type="dxa"/>
            <w:tcBorders>
              <w:bottom w:val="single" w:sz="4" w:space="0" w:color="auto"/>
            </w:tcBorders>
          </w:tcPr>
          <w:p w14:paraId="7E62B7D7" w14:textId="77777777" w:rsidR="000F16C4" w:rsidRPr="00956C7B" w:rsidRDefault="000F16C4" w:rsidP="000972AF">
            <w:pPr>
              <w:rPr>
                <w:sz w:val="18"/>
                <w:szCs w:val="24"/>
              </w:rPr>
            </w:pPr>
            <w:r w:rsidRPr="00956C7B">
              <w:rPr>
                <w:sz w:val="18"/>
                <w:szCs w:val="24"/>
              </w:rPr>
              <w:t>Log no. empl</w:t>
            </w:r>
          </w:p>
        </w:tc>
      </w:tr>
      <w:tr w:rsidR="000F16C4" w14:paraId="22B4D7AE" w14:textId="77777777" w:rsidTr="000972AF">
        <w:tc>
          <w:tcPr>
            <w:tcW w:w="1130" w:type="dxa"/>
            <w:tcBorders>
              <w:top w:val="single" w:sz="4" w:space="0" w:color="auto"/>
            </w:tcBorders>
          </w:tcPr>
          <w:p w14:paraId="574485EE" w14:textId="77777777" w:rsidR="000F16C4" w:rsidRPr="00956C7B" w:rsidRDefault="000F16C4" w:rsidP="000972AF">
            <w:pPr>
              <w:rPr>
                <w:sz w:val="24"/>
                <w:szCs w:val="24"/>
              </w:rPr>
            </w:pPr>
            <w:r w:rsidRPr="00956C7B">
              <w:rPr>
                <w:sz w:val="24"/>
                <w:szCs w:val="24"/>
              </w:rPr>
              <w:t>Regional partners</w:t>
            </w:r>
          </w:p>
        </w:tc>
        <w:tc>
          <w:tcPr>
            <w:tcW w:w="793" w:type="dxa"/>
            <w:tcBorders>
              <w:top w:val="single" w:sz="4" w:space="0" w:color="auto"/>
            </w:tcBorders>
          </w:tcPr>
          <w:p w14:paraId="7AD2DAEB" w14:textId="77777777" w:rsidR="000F16C4" w:rsidRPr="00956C7B" w:rsidRDefault="000F16C4" w:rsidP="000972AF">
            <w:pPr>
              <w:rPr>
                <w:sz w:val="24"/>
                <w:szCs w:val="24"/>
              </w:rPr>
            </w:pPr>
            <w:r w:rsidRPr="00956C7B">
              <w:rPr>
                <w:sz w:val="24"/>
                <w:szCs w:val="24"/>
              </w:rPr>
              <w:t>.25</w:t>
            </w:r>
          </w:p>
        </w:tc>
        <w:tc>
          <w:tcPr>
            <w:tcW w:w="793" w:type="dxa"/>
            <w:tcBorders>
              <w:top w:val="single" w:sz="4" w:space="0" w:color="auto"/>
            </w:tcBorders>
          </w:tcPr>
          <w:p w14:paraId="062552F3" w14:textId="77777777" w:rsidR="000F16C4" w:rsidRPr="00956C7B" w:rsidRDefault="000F16C4" w:rsidP="000972AF">
            <w:pPr>
              <w:rPr>
                <w:sz w:val="24"/>
                <w:szCs w:val="24"/>
              </w:rPr>
            </w:pPr>
            <w:r w:rsidRPr="00956C7B">
              <w:rPr>
                <w:sz w:val="24"/>
                <w:szCs w:val="24"/>
              </w:rPr>
              <w:t>.90</w:t>
            </w:r>
          </w:p>
        </w:tc>
        <w:tc>
          <w:tcPr>
            <w:tcW w:w="843" w:type="dxa"/>
            <w:tcBorders>
              <w:top w:val="single" w:sz="4" w:space="0" w:color="auto"/>
            </w:tcBorders>
          </w:tcPr>
          <w:p w14:paraId="60EBE534" w14:textId="77777777" w:rsidR="000F16C4" w:rsidRPr="00956C7B" w:rsidRDefault="000F16C4" w:rsidP="000972AF">
            <w:pPr>
              <w:rPr>
                <w:sz w:val="24"/>
                <w:szCs w:val="24"/>
              </w:rPr>
            </w:pPr>
          </w:p>
        </w:tc>
        <w:tc>
          <w:tcPr>
            <w:tcW w:w="844" w:type="dxa"/>
            <w:tcBorders>
              <w:top w:val="single" w:sz="4" w:space="0" w:color="auto"/>
            </w:tcBorders>
          </w:tcPr>
          <w:p w14:paraId="54C4ED2E" w14:textId="77777777" w:rsidR="000F16C4" w:rsidRPr="00956C7B" w:rsidRDefault="000F16C4" w:rsidP="000972AF">
            <w:pPr>
              <w:rPr>
                <w:sz w:val="24"/>
                <w:szCs w:val="24"/>
              </w:rPr>
            </w:pPr>
          </w:p>
        </w:tc>
        <w:tc>
          <w:tcPr>
            <w:tcW w:w="843" w:type="dxa"/>
            <w:tcBorders>
              <w:top w:val="single" w:sz="4" w:space="0" w:color="auto"/>
            </w:tcBorders>
          </w:tcPr>
          <w:p w14:paraId="21CBF021" w14:textId="77777777" w:rsidR="000F16C4" w:rsidRPr="00956C7B" w:rsidRDefault="000F16C4" w:rsidP="000972AF">
            <w:pPr>
              <w:rPr>
                <w:sz w:val="24"/>
                <w:szCs w:val="24"/>
              </w:rPr>
            </w:pPr>
          </w:p>
        </w:tc>
        <w:tc>
          <w:tcPr>
            <w:tcW w:w="844" w:type="dxa"/>
            <w:tcBorders>
              <w:top w:val="single" w:sz="4" w:space="0" w:color="auto"/>
            </w:tcBorders>
          </w:tcPr>
          <w:p w14:paraId="27C7E37A" w14:textId="77777777" w:rsidR="000F16C4" w:rsidRPr="00956C7B" w:rsidRDefault="000F16C4" w:rsidP="000972AF">
            <w:pPr>
              <w:rPr>
                <w:sz w:val="24"/>
                <w:szCs w:val="24"/>
              </w:rPr>
            </w:pPr>
          </w:p>
        </w:tc>
        <w:tc>
          <w:tcPr>
            <w:tcW w:w="843" w:type="dxa"/>
            <w:tcBorders>
              <w:top w:val="single" w:sz="4" w:space="0" w:color="auto"/>
            </w:tcBorders>
          </w:tcPr>
          <w:p w14:paraId="3A6E8FB8" w14:textId="77777777" w:rsidR="000F16C4" w:rsidRPr="00956C7B" w:rsidRDefault="000F16C4" w:rsidP="000972AF">
            <w:pPr>
              <w:rPr>
                <w:sz w:val="24"/>
                <w:szCs w:val="24"/>
              </w:rPr>
            </w:pPr>
          </w:p>
        </w:tc>
        <w:tc>
          <w:tcPr>
            <w:tcW w:w="844" w:type="dxa"/>
            <w:tcBorders>
              <w:top w:val="single" w:sz="4" w:space="0" w:color="auto"/>
            </w:tcBorders>
          </w:tcPr>
          <w:p w14:paraId="3E8C5BDD" w14:textId="77777777" w:rsidR="000F16C4" w:rsidRPr="00956C7B" w:rsidRDefault="000F16C4" w:rsidP="000972AF">
            <w:pPr>
              <w:rPr>
                <w:sz w:val="24"/>
                <w:szCs w:val="24"/>
              </w:rPr>
            </w:pPr>
          </w:p>
        </w:tc>
        <w:tc>
          <w:tcPr>
            <w:tcW w:w="843" w:type="dxa"/>
            <w:tcBorders>
              <w:top w:val="single" w:sz="4" w:space="0" w:color="auto"/>
            </w:tcBorders>
          </w:tcPr>
          <w:p w14:paraId="29ACF4D8" w14:textId="77777777" w:rsidR="000F16C4" w:rsidRPr="00956C7B" w:rsidRDefault="000F16C4" w:rsidP="000972AF">
            <w:pPr>
              <w:rPr>
                <w:sz w:val="24"/>
                <w:szCs w:val="24"/>
              </w:rPr>
            </w:pPr>
          </w:p>
        </w:tc>
        <w:tc>
          <w:tcPr>
            <w:tcW w:w="844" w:type="dxa"/>
            <w:tcBorders>
              <w:top w:val="single" w:sz="4" w:space="0" w:color="auto"/>
            </w:tcBorders>
          </w:tcPr>
          <w:p w14:paraId="6B39C7DA" w14:textId="77777777" w:rsidR="000F16C4" w:rsidRPr="00956C7B" w:rsidRDefault="000F16C4" w:rsidP="000972AF">
            <w:pPr>
              <w:rPr>
                <w:sz w:val="24"/>
                <w:szCs w:val="24"/>
              </w:rPr>
            </w:pPr>
          </w:p>
        </w:tc>
      </w:tr>
      <w:tr w:rsidR="000F16C4" w14:paraId="3AE07743" w14:textId="77777777" w:rsidTr="000972AF">
        <w:tc>
          <w:tcPr>
            <w:tcW w:w="1130" w:type="dxa"/>
          </w:tcPr>
          <w:p w14:paraId="0EC2EDD4" w14:textId="77777777" w:rsidR="000F16C4" w:rsidRPr="00956C7B" w:rsidRDefault="000F16C4" w:rsidP="000972AF">
            <w:pPr>
              <w:rPr>
                <w:sz w:val="24"/>
                <w:szCs w:val="24"/>
              </w:rPr>
            </w:pPr>
            <w:r w:rsidRPr="00956C7B">
              <w:rPr>
                <w:sz w:val="24"/>
                <w:szCs w:val="24"/>
              </w:rPr>
              <w:t>National partners</w:t>
            </w:r>
          </w:p>
        </w:tc>
        <w:tc>
          <w:tcPr>
            <w:tcW w:w="793" w:type="dxa"/>
          </w:tcPr>
          <w:p w14:paraId="672A99A8" w14:textId="77777777" w:rsidR="000F16C4" w:rsidRPr="00956C7B" w:rsidRDefault="000F16C4" w:rsidP="000972AF">
            <w:pPr>
              <w:rPr>
                <w:sz w:val="24"/>
                <w:szCs w:val="24"/>
              </w:rPr>
            </w:pPr>
            <w:r w:rsidRPr="00956C7B">
              <w:rPr>
                <w:sz w:val="24"/>
                <w:szCs w:val="24"/>
              </w:rPr>
              <w:t>.25</w:t>
            </w:r>
          </w:p>
        </w:tc>
        <w:tc>
          <w:tcPr>
            <w:tcW w:w="793" w:type="dxa"/>
          </w:tcPr>
          <w:p w14:paraId="6855B259" w14:textId="77777777" w:rsidR="000F16C4" w:rsidRPr="00956C7B" w:rsidRDefault="000F16C4" w:rsidP="000972AF">
            <w:pPr>
              <w:rPr>
                <w:sz w:val="24"/>
                <w:szCs w:val="24"/>
              </w:rPr>
            </w:pPr>
            <w:r w:rsidRPr="00956C7B">
              <w:rPr>
                <w:sz w:val="24"/>
                <w:szCs w:val="24"/>
              </w:rPr>
              <w:t>.95</w:t>
            </w:r>
          </w:p>
        </w:tc>
        <w:tc>
          <w:tcPr>
            <w:tcW w:w="843" w:type="dxa"/>
          </w:tcPr>
          <w:p w14:paraId="3AA7E4E3" w14:textId="77777777" w:rsidR="000F16C4" w:rsidRPr="00956C7B" w:rsidRDefault="000F16C4" w:rsidP="000972AF">
            <w:pPr>
              <w:rPr>
                <w:sz w:val="24"/>
                <w:szCs w:val="24"/>
              </w:rPr>
            </w:pPr>
            <w:r w:rsidRPr="00956C7B">
              <w:rPr>
                <w:sz w:val="24"/>
                <w:szCs w:val="24"/>
              </w:rPr>
              <w:t>.41</w:t>
            </w:r>
          </w:p>
        </w:tc>
        <w:tc>
          <w:tcPr>
            <w:tcW w:w="844" w:type="dxa"/>
          </w:tcPr>
          <w:p w14:paraId="5604A929" w14:textId="77777777" w:rsidR="000F16C4" w:rsidRPr="00956C7B" w:rsidRDefault="000F16C4" w:rsidP="000972AF">
            <w:pPr>
              <w:rPr>
                <w:sz w:val="24"/>
                <w:szCs w:val="24"/>
              </w:rPr>
            </w:pPr>
          </w:p>
        </w:tc>
        <w:tc>
          <w:tcPr>
            <w:tcW w:w="843" w:type="dxa"/>
          </w:tcPr>
          <w:p w14:paraId="0BDA7BCA" w14:textId="77777777" w:rsidR="000F16C4" w:rsidRPr="00956C7B" w:rsidRDefault="000F16C4" w:rsidP="000972AF">
            <w:pPr>
              <w:rPr>
                <w:sz w:val="24"/>
                <w:szCs w:val="24"/>
              </w:rPr>
            </w:pPr>
          </w:p>
        </w:tc>
        <w:tc>
          <w:tcPr>
            <w:tcW w:w="844" w:type="dxa"/>
          </w:tcPr>
          <w:p w14:paraId="57CBAB74" w14:textId="77777777" w:rsidR="000F16C4" w:rsidRPr="00956C7B" w:rsidRDefault="000F16C4" w:rsidP="000972AF">
            <w:pPr>
              <w:rPr>
                <w:sz w:val="24"/>
                <w:szCs w:val="24"/>
              </w:rPr>
            </w:pPr>
          </w:p>
        </w:tc>
        <w:tc>
          <w:tcPr>
            <w:tcW w:w="843" w:type="dxa"/>
          </w:tcPr>
          <w:p w14:paraId="3B7D6E63" w14:textId="77777777" w:rsidR="000F16C4" w:rsidRPr="00956C7B" w:rsidRDefault="000F16C4" w:rsidP="000972AF">
            <w:pPr>
              <w:rPr>
                <w:sz w:val="24"/>
                <w:szCs w:val="24"/>
              </w:rPr>
            </w:pPr>
          </w:p>
        </w:tc>
        <w:tc>
          <w:tcPr>
            <w:tcW w:w="844" w:type="dxa"/>
          </w:tcPr>
          <w:p w14:paraId="56009F5C" w14:textId="77777777" w:rsidR="000F16C4" w:rsidRPr="00956C7B" w:rsidRDefault="000F16C4" w:rsidP="000972AF">
            <w:pPr>
              <w:rPr>
                <w:sz w:val="24"/>
                <w:szCs w:val="24"/>
              </w:rPr>
            </w:pPr>
          </w:p>
        </w:tc>
        <w:tc>
          <w:tcPr>
            <w:tcW w:w="843" w:type="dxa"/>
          </w:tcPr>
          <w:p w14:paraId="70EE6CA1" w14:textId="77777777" w:rsidR="000F16C4" w:rsidRPr="00956C7B" w:rsidRDefault="000F16C4" w:rsidP="000972AF">
            <w:pPr>
              <w:rPr>
                <w:sz w:val="24"/>
                <w:szCs w:val="24"/>
              </w:rPr>
            </w:pPr>
          </w:p>
        </w:tc>
        <w:tc>
          <w:tcPr>
            <w:tcW w:w="844" w:type="dxa"/>
          </w:tcPr>
          <w:p w14:paraId="05CA3F06" w14:textId="77777777" w:rsidR="000F16C4" w:rsidRPr="00956C7B" w:rsidRDefault="000F16C4" w:rsidP="000972AF">
            <w:pPr>
              <w:rPr>
                <w:sz w:val="24"/>
                <w:szCs w:val="24"/>
              </w:rPr>
            </w:pPr>
          </w:p>
        </w:tc>
      </w:tr>
      <w:tr w:rsidR="000F16C4" w14:paraId="73DF4AB9" w14:textId="77777777" w:rsidTr="000972AF">
        <w:tc>
          <w:tcPr>
            <w:tcW w:w="1130" w:type="dxa"/>
          </w:tcPr>
          <w:p w14:paraId="504C1404" w14:textId="77777777" w:rsidR="000F16C4" w:rsidRPr="00956C7B" w:rsidRDefault="000F16C4" w:rsidP="000972AF">
            <w:pPr>
              <w:rPr>
                <w:sz w:val="24"/>
                <w:szCs w:val="24"/>
              </w:rPr>
            </w:pPr>
            <w:r w:rsidRPr="00956C7B">
              <w:rPr>
                <w:sz w:val="24"/>
                <w:szCs w:val="24"/>
              </w:rPr>
              <w:t>Foreign partners</w:t>
            </w:r>
          </w:p>
        </w:tc>
        <w:tc>
          <w:tcPr>
            <w:tcW w:w="793" w:type="dxa"/>
          </w:tcPr>
          <w:p w14:paraId="11A8ACA8" w14:textId="77777777" w:rsidR="000F16C4" w:rsidRPr="00956C7B" w:rsidRDefault="000F16C4" w:rsidP="000972AF">
            <w:pPr>
              <w:rPr>
                <w:sz w:val="24"/>
                <w:szCs w:val="24"/>
              </w:rPr>
            </w:pPr>
            <w:r w:rsidRPr="00956C7B">
              <w:rPr>
                <w:sz w:val="24"/>
                <w:szCs w:val="24"/>
              </w:rPr>
              <w:t>.21</w:t>
            </w:r>
          </w:p>
        </w:tc>
        <w:tc>
          <w:tcPr>
            <w:tcW w:w="793" w:type="dxa"/>
          </w:tcPr>
          <w:p w14:paraId="0EF45C49" w14:textId="77777777" w:rsidR="000F16C4" w:rsidRPr="00956C7B" w:rsidRDefault="000F16C4" w:rsidP="000972AF">
            <w:pPr>
              <w:rPr>
                <w:sz w:val="24"/>
                <w:szCs w:val="24"/>
              </w:rPr>
            </w:pPr>
            <w:r w:rsidRPr="00956C7B">
              <w:rPr>
                <w:sz w:val="24"/>
                <w:szCs w:val="24"/>
              </w:rPr>
              <w:t>.87</w:t>
            </w:r>
          </w:p>
        </w:tc>
        <w:tc>
          <w:tcPr>
            <w:tcW w:w="843" w:type="dxa"/>
          </w:tcPr>
          <w:p w14:paraId="4F851949" w14:textId="77777777" w:rsidR="000F16C4" w:rsidRPr="00956C7B" w:rsidRDefault="000F16C4" w:rsidP="000972AF">
            <w:pPr>
              <w:rPr>
                <w:sz w:val="24"/>
                <w:szCs w:val="24"/>
              </w:rPr>
            </w:pPr>
            <w:r w:rsidRPr="00956C7B">
              <w:rPr>
                <w:sz w:val="24"/>
                <w:szCs w:val="24"/>
              </w:rPr>
              <w:t>.38</w:t>
            </w:r>
          </w:p>
        </w:tc>
        <w:tc>
          <w:tcPr>
            <w:tcW w:w="844" w:type="dxa"/>
          </w:tcPr>
          <w:p w14:paraId="4027EB46" w14:textId="77777777" w:rsidR="000F16C4" w:rsidRPr="00956C7B" w:rsidRDefault="000F16C4" w:rsidP="000972AF">
            <w:pPr>
              <w:rPr>
                <w:sz w:val="24"/>
                <w:szCs w:val="24"/>
              </w:rPr>
            </w:pPr>
            <w:r w:rsidRPr="00956C7B">
              <w:rPr>
                <w:sz w:val="24"/>
                <w:szCs w:val="24"/>
              </w:rPr>
              <w:t>.48</w:t>
            </w:r>
          </w:p>
        </w:tc>
        <w:tc>
          <w:tcPr>
            <w:tcW w:w="843" w:type="dxa"/>
          </w:tcPr>
          <w:p w14:paraId="5679A988" w14:textId="77777777" w:rsidR="000F16C4" w:rsidRPr="00956C7B" w:rsidRDefault="000F16C4" w:rsidP="000972AF">
            <w:pPr>
              <w:rPr>
                <w:sz w:val="24"/>
                <w:szCs w:val="24"/>
              </w:rPr>
            </w:pPr>
          </w:p>
        </w:tc>
        <w:tc>
          <w:tcPr>
            <w:tcW w:w="844" w:type="dxa"/>
          </w:tcPr>
          <w:p w14:paraId="14699CBA" w14:textId="77777777" w:rsidR="000F16C4" w:rsidRPr="00956C7B" w:rsidRDefault="000F16C4" w:rsidP="000972AF">
            <w:pPr>
              <w:rPr>
                <w:sz w:val="24"/>
                <w:szCs w:val="24"/>
              </w:rPr>
            </w:pPr>
          </w:p>
        </w:tc>
        <w:tc>
          <w:tcPr>
            <w:tcW w:w="843" w:type="dxa"/>
          </w:tcPr>
          <w:p w14:paraId="32AE48A3" w14:textId="77777777" w:rsidR="000F16C4" w:rsidRPr="00956C7B" w:rsidRDefault="000F16C4" w:rsidP="000972AF">
            <w:pPr>
              <w:rPr>
                <w:sz w:val="24"/>
                <w:szCs w:val="24"/>
              </w:rPr>
            </w:pPr>
          </w:p>
        </w:tc>
        <w:tc>
          <w:tcPr>
            <w:tcW w:w="844" w:type="dxa"/>
          </w:tcPr>
          <w:p w14:paraId="6325707A" w14:textId="77777777" w:rsidR="000F16C4" w:rsidRPr="00956C7B" w:rsidRDefault="000F16C4" w:rsidP="000972AF">
            <w:pPr>
              <w:rPr>
                <w:sz w:val="24"/>
                <w:szCs w:val="24"/>
              </w:rPr>
            </w:pPr>
          </w:p>
        </w:tc>
        <w:tc>
          <w:tcPr>
            <w:tcW w:w="843" w:type="dxa"/>
          </w:tcPr>
          <w:p w14:paraId="2E58DB4D" w14:textId="77777777" w:rsidR="000F16C4" w:rsidRPr="00956C7B" w:rsidRDefault="000F16C4" w:rsidP="000972AF">
            <w:pPr>
              <w:rPr>
                <w:sz w:val="24"/>
                <w:szCs w:val="24"/>
              </w:rPr>
            </w:pPr>
          </w:p>
        </w:tc>
        <w:tc>
          <w:tcPr>
            <w:tcW w:w="844" w:type="dxa"/>
          </w:tcPr>
          <w:p w14:paraId="21E1F0CA" w14:textId="77777777" w:rsidR="000F16C4" w:rsidRPr="00956C7B" w:rsidRDefault="000F16C4" w:rsidP="000972AF">
            <w:pPr>
              <w:rPr>
                <w:sz w:val="24"/>
                <w:szCs w:val="24"/>
              </w:rPr>
            </w:pPr>
          </w:p>
        </w:tc>
      </w:tr>
      <w:tr w:rsidR="000F16C4" w14:paraId="0BBA3352" w14:textId="77777777" w:rsidTr="000972AF">
        <w:tc>
          <w:tcPr>
            <w:tcW w:w="1130" w:type="dxa"/>
          </w:tcPr>
          <w:p w14:paraId="58429723" w14:textId="77777777" w:rsidR="000F16C4" w:rsidRPr="00956C7B" w:rsidRDefault="000F16C4" w:rsidP="000972AF">
            <w:pPr>
              <w:rPr>
                <w:sz w:val="24"/>
                <w:szCs w:val="24"/>
              </w:rPr>
            </w:pPr>
            <w:r w:rsidRPr="00956C7B">
              <w:rPr>
                <w:sz w:val="24"/>
                <w:szCs w:val="24"/>
              </w:rPr>
              <w:t>Big city</w:t>
            </w:r>
          </w:p>
        </w:tc>
        <w:tc>
          <w:tcPr>
            <w:tcW w:w="793" w:type="dxa"/>
          </w:tcPr>
          <w:p w14:paraId="0DAD0457" w14:textId="77777777" w:rsidR="000F16C4" w:rsidRPr="00956C7B" w:rsidRDefault="000F16C4" w:rsidP="000972AF">
            <w:pPr>
              <w:rPr>
                <w:sz w:val="24"/>
                <w:szCs w:val="24"/>
              </w:rPr>
            </w:pPr>
            <w:r w:rsidRPr="00956C7B">
              <w:rPr>
                <w:sz w:val="24"/>
                <w:szCs w:val="24"/>
              </w:rPr>
              <w:t>.28</w:t>
            </w:r>
          </w:p>
        </w:tc>
        <w:tc>
          <w:tcPr>
            <w:tcW w:w="793" w:type="dxa"/>
          </w:tcPr>
          <w:p w14:paraId="418C434A" w14:textId="77777777" w:rsidR="000F16C4" w:rsidRPr="00956C7B" w:rsidRDefault="000F16C4" w:rsidP="000972AF">
            <w:pPr>
              <w:rPr>
                <w:sz w:val="24"/>
                <w:szCs w:val="24"/>
              </w:rPr>
            </w:pPr>
            <w:r w:rsidRPr="00956C7B">
              <w:rPr>
                <w:sz w:val="24"/>
                <w:szCs w:val="24"/>
              </w:rPr>
              <w:t>.45</w:t>
            </w:r>
          </w:p>
        </w:tc>
        <w:tc>
          <w:tcPr>
            <w:tcW w:w="843" w:type="dxa"/>
          </w:tcPr>
          <w:p w14:paraId="3CFE44E0" w14:textId="77777777" w:rsidR="000F16C4" w:rsidRPr="00956C7B" w:rsidRDefault="000F16C4" w:rsidP="000972AF">
            <w:pPr>
              <w:rPr>
                <w:sz w:val="24"/>
                <w:szCs w:val="24"/>
              </w:rPr>
            </w:pPr>
            <w:r w:rsidRPr="00956C7B">
              <w:rPr>
                <w:sz w:val="24"/>
                <w:szCs w:val="24"/>
              </w:rPr>
              <w:t>-.00</w:t>
            </w:r>
          </w:p>
        </w:tc>
        <w:tc>
          <w:tcPr>
            <w:tcW w:w="844" w:type="dxa"/>
          </w:tcPr>
          <w:p w14:paraId="01A51ACC" w14:textId="77777777" w:rsidR="000F16C4" w:rsidRPr="00956C7B" w:rsidRDefault="000F16C4" w:rsidP="000972AF">
            <w:pPr>
              <w:rPr>
                <w:sz w:val="24"/>
                <w:szCs w:val="24"/>
              </w:rPr>
            </w:pPr>
            <w:r w:rsidRPr="00956C7B">
              <w:rPr>
                <w:sz w:val="24"/>
                <w:szCs w:val="24"/>
              </w:rPr>
              <w:t>-.02</w:t>
            </w:r>
          </w:p>
        </w:tc>
        <w:tc>
          <w:tcPr>
            <w:tcW w:w="843" w:type="dxa"/>
          </w:tcPr>
          <w:p w14:paraId="3601BA49" w14:textId="77777777" w:rsidR="000F16C4" w:rsidRPr="00956C7B" w:rsidRDefault="000F16C4" w:rsidP="000972AF">
            <w:pPr>
              <w:rPr>
                <w:sz w:val="24"/>
                <w:szCs w:val="24"/>
              </w:rPr>
            </w:pPr>
            <w:r w:rsidRPr="00956C7B">
              <w:rPr>
                <w:sz w:val="24"/>
                <w:szCs w:val="24"/>
              </w:rPr>
              <w:t>.02</w:t>
            </w:r>
          </w:p>
        </w:tc>
        <w:tc>
          <w:tcPr>
            <w:tcW w:w="844" w:type="dxa"/>
          </w:tcPr>
          <w:p w14:paraId="7B544282" w14:textId="77777777" w:rsidR="000F16C4" w:rsidRPr="00956C7B" w:rsidRDefault="000F16C4" w:rsidP="000972AF">
            <w:pPr>
              <w:rPr>
                <w:sz w:val="24"/>
                <w:szCs w:val="24"/>
              </w:rPr>
            </w:pPr>
          </w:p>
        </w:tc>
        <w:tc>
          <w:tcPr>
            <w:tcW w:w="843" w:type="dxa"/>
          </w:tcPr>
          <w:p w14:paraId="6A885F2C" w14:textId="77777777" w:rsidR="000F16C4" w:rsidRPr="00956C7B" w:rsidRDefault="000F16C4" w:rsidP="000972AF">
            <w:pPr>
              <w:rPr>
                <w:sz w:val="24"/>
                <w:szCs w:val="24"/>
              </w:rPr>
            </w:pPr>
          </w:p>
        </w:tc>
        <w:tc>
          <w:tcPr>
            <w:tcW w:w="844" w:type="dxa"/>
          </w:tcPr>
          <w:p w14:paraId="0CB81532" w14:textId="77777777" w:rsidR="000F16C4" w:rsidRPr="00956C7B" w:rsidRDefault="000F16C4" w:rsidP="000972AF">
            <w:pPr>
              <w:rPr>
                <w:sz w:val="24"/>
                <w:szCs w:val="24"/>
              </w:rPr>
            </w:pPr>
          </w:p>
        </w:tc>
        <w:tc>
          <w:tcPr>
            <w:tcW w:w="843" w:type="dxa"/>
          </w:tcPr>
          <w:p w14:paraId="0D11DC75" w14:textId="77777777" w:rsidR="000F16C4" w:rsidRPr="00956C7B" w:rsidRDefault="000F16C4" w:rsidP="000972AF">
            <w:pPr>
              <w:rPr>
                <w:sz w:val="24"/>
                <w:szCs w:val="24"/>
              </w:rPr>
            </w:pPr>
          </w:p>
        </w:tc>
        <w:tc>
          <w:tcPr>
            <w:tcW w:w="844" w:type="dxa"/>
          </w:tcPr>
          <w:p w14:paraId="01433E50" w14:textId="77777777" w:rsidR="000F16C4" w:rsidRPr="00956C7B" w:rsidRDefault="000F16C4" w:rsidP="000972AF">
            <w:pPr>
              <w:rPr>
                <w:sz w:val="24"/>
                <w:szCs w:val="24"/>
              </w:rPr>
            </w:pPr>
          </w:p>
        </w:tc>
      </w:tr>
      <w:tr w:rsidR="000F16C4" w14:paraId="3B7842B4" w14:textId="77777777" w:rsidTr="000972AF">
        <w:tc>
          <w:tcPr>
            <w:tcW w:w="1130" w:type="dxa"/>
          </w:tcPr>
          <w:p w14:paraId="014F835F" w14:textId="77777777" w:rsidR="000F16C4" w:rsidRPr="00956C7B" w:rsidRDefault="000F16C4" w:rsidP="000972AF">
            <w:pPr>
              <w:rPr>
                <w:sz w:val="24"/>
                <w:szCs w:val="24"/>
              </w:rPr>
            </w:pPr>
            <w:r w:rsidRPr="00956C7B">
              <w:rPr>
                <w:sz w:val="24"/>
                <w:szCs w:val="24"/>
              </w:rPr>
              <w:t>Medium city</w:t>
            </w:r>
          </w:p>
        </w:tc>
        <w:tc>
          <w:tcPr>
            <w:tcW w:w="793" w:type="dxa"/>
          </w:tcPr>
          <w:p w14:paraId="626F836D" w14:textId="77777777" w:rsidR="000F16C4" w:rsidRPr="00956C7B" w:rsidRDefault="000F16C4" w:rsidP="000972AF">
            <w:pPr>
              <w:rPr>
                <w:sz w:val="24"/>
                <w:szCs w:val="24"/>
              </w:rPr>
            </w:pPr>
            <w:r w:rsidRPr="00956C7B">
              <w:rPr>
                <w:sz w:val="24"/>
                <w:szCs w:val="24"/>
              </w:rPr>
              <w:t>.19</w:t>
            </w:r>
          </w:p>
        </w:tc>
        <w:tc>
          <w:tcPr>
            <w:tcW w:w="793" w:type="dxa"/>
          </w:tcPr>
          <w:p w14:paraId="6B11DFB9" w14:textId="77777777" w:rsidR="000F16C4" w:rsidRPr="00956C7B" w:rsidRDefault="000F16C4" w:rsidP="000972AF">
            <w:pPr>
              <w:rPr>
                <w:sz w:val="24"/>
                <w:szCs w:val="24"/>
              </w:rPr>
            </w:pPr>
            <w:r w:rsidRPr="00956C7B">
              <w:rPr>
                <w:sz w:val="24"/>
                <w:szCs w:val="24"/>
              </w:rPr>
              <w:t>.39</w:t>
            </w:r>
          </w:p>
        </w:tc>
        <w:tc>
          <w:tcPr>
            <w:tcW w:w="843" w:type="dxa"/>
          </w:tcPr>
          <w:p w14:paraId="27C0B837" w14:textId="77777777" w:rsidR="000F16C4" w:rsidRPr="00956C7B" w:rsidRDefault="000F16C4" w:rsidP="000972AF">
            <w:pPr>
              <w:rPr>
                <w:sz w:val="24"/>
                <w:szCs w:val="24"/>
              </w:rPr>
            </w:pPr>
            <w:r w:rsidRPr="00956C7B">
              <w:rPr>
                <w:sz w:val="24"/>
                <w:szCs w:val="24"/>
              </w:rPr>
              <w:t>.01</w:t>
            </w:r>
          </w:p>
        </w:tc>
        <w:tc>
          <w:tcPr>
            <w:tcW w:w="844" w:type="dxa"/>
          </w:tcPr>
          <w:p w14:paraId="2767E123" w14:textId="77777777" w:rsidR="000F16C4" w:rsidRPr="00956C7B" w:rsidRDefault="000F16C4" w:rsidP="000972AF">
            <w:pPr>
              <w:rPr>
                <w:sz w:val="24"/>
                <w:szCs w:val="24"/>
              </w:rPr>
            </w:pPr>
            <w:r w:rsidRPr="00956C7B">
              <w:rPr>
                <w:sz w:val="24"/>
                <w:szCs w:val="24"/>
              </w:rPr>
              <w:t>.00</w:t>
            </w:r>
          </w:p>
        </w:tc>
        <w:tc>
          <w:tcPr>
            <w:tcW w:w="843" w:type="dxa"/>
          </w:tcPr>
          <w:p w14:paraId="5734B64F" w14:textId="77777777" w:rsidR="000F16C4" w:rsidRPr="00956C7B" w:rsidRDefault="000F16C4" w:rsidP="000972AF">
            <w:pPr>
              <w:rPr>
                <w:sz w:val="24"/>
                <w:szCs w:val="24"/>
              </w:rPr>
            </w:pPr>
            <w:r w:rsidRPr="00956C7B">
              <w:rPr>
                <w:sz w:val="24"/>
                <w:szCs w:val="24"/>
              </w:rPr>
              <w:t>-.01</w:t>
            </w:r>
          </w:p>
        </w:tc>
        <w:tc>
          <w:tcPr>
            <w:tcW w:w="844" w:type="dxa"/>
          </w:tcPr>
          <w:p w14:paraId="1C42D030" w14:textId="77777777" w:rsidR="000F16C4" w:rsidRPr="00956C7B" w:rsidRDefault="000F16C4" w:rsidP="000972AF">
            <w:pPr>
              <w:rPr>
                <w:sz w:val="24"/>
                <w:szCs w:val="24"/>
              </w:rPr>
            </w:pPr>
            <w:r w:rsidRPr="00956C7B">
              <w:rPr>
                <w:sz w:val="24"/>
                <w:szCs w:val="24"/>
              </w:rPr>
              <w:t>-.30</w:t>
            </w:r>
          </w:p>
        </w:tc>
        <w:tc>
          <w:tcPr>
            <w:tcW w:w="843" w:type="dxa"/>
          </w:tcPr>
          <w:p w14:paraId="4A3992F6" w14:textId="77777777" w:rsidR="000F16C4" w:rsidRPr="00956C7B" w:rsidRDefault="000F16C4" w:rsidP="000972AF">
            <w:pPr>
              <w:rPr>
                <w:sz w:val="24"/>
                <w:szCs w:val="24"/>
              </w:rPr>
            </w:pPr>
          </w:p>
        </w:tc>
        <w:tc>
          <w:tcPr>
            <w:tcW w:w="844" w:type="dxa"/>
          </w:tcPr>
          <w:p w14:paraId="1DC7B2D3" w14:textId="77777777" w:rsidR="000F16C4" w:rsidRPr="00956C7B" w:rsidRDefault="000F16C4" w:rsidP="000972AF">
            <w:pPr>
              <w:rPr>
                <w:sz w:val="24"/>
                <w:szCs w:val="24"/>
              </w:rPr>
            </w:pPr>
          </w:p>
        </w:tc>
        <w:tc>
          <w:tcPr>
            <w:tcW w:w="843" w:type="dxa"/>
          </w:tcPr>
          <w:p w14:paraId="1123F8C2" w14:textId="77777777" w:rsidR="000F16C4" w:rsidRPr="00956C7B" w:rsidRDefault="000F16C4" w:rsidP="000972AF">
            <w:pPr>
              <w:rPr>
                <w:sz w:val="24"/>
                <w:szCs w:val="24"/>
              </w:rPr>
            </w:pPr>
          </w:p>
        </w:tc>
        <w:tc>
          <w:tcPr>
            <w:tcW w:w="844" w:type="dxa"/>
          </w:tcPr>
          <w:p w14:paraId="2C0AF57B" w14:textId="77777777" w:rsidR="000F16C4" w:rsidRPr="00956C7B" w:rsidRDefault="000F16C4" w:rsidP="000972AF">
            <w:pPr>
              <w:rPr>
                <w:sz w:val="24"/>
                <w:szCs w:val="24"/>
              </w:rPr>
            </w:pPr>
          </w:p>
        </w:tc>
      </w:tr>
      <w:tr w:rsidR="000F16C4" w14:paraId="4B74F320" w14:textId="77777777" w:rsidTr="000972AF">
        <w:tc>
          <w:tcPr>
            <w:tcW w:w="1130" w:type="dxa"/>
          </w:tcPr>
          <w:p w14:paraId="0FA3D720" w14:textId="77777777" w:rsidR="000F16C4" w:rsidRPr="00956C7B" w:rsidRDefault="000F16C4" w:rsidP="000972AF">
            <w:pPr>
              <w:rPr>
                <w:sz w:val="24"/>
                <w:szCs w:val="24"/>
              </w:rPr>
            </w:pPr>
            <w:r w:rsidRPr="00956C7B">
              <w:rPr>
                <w:sz w:val="24"/>
                <w:szCs w:val="24"/>
              </w:rPr>
              <w:t>Small city</w:t>
            </w:r>
          </w:p>
        </w:tc>
        <w:tc>
          <w:tcPr>
            <w:tcW w:w="793" w:type="dxa"/>
          </w:tcPr>
          <w:p w14:paraId="1B809109" w14:textId="77777777" w:rsidR="000F16C4" w:rsidRPr="00956C7B" w:rsidRDefault="000F16C4" w:rsidP="000972AF">
            <w:pPr>
              <w:rPr>
                <w:sz w:val="24"/>
                <w:szCs w:val="24"/>
              </w:rPr>
            </w:pPr>
            <w:r w:rsidRPr="00956C7B">
              <w:rPr>
                <w:sz w:val="24"/>
                <w:szCs w:val="24"/>
              </w:rPr>
              <w:t>.29</w:t>
            </w:r>
          </w:p>
        </w:tc>
        <w:tc>
          <w:tcPr>
            <w:tcW w:w="793" w:type="dxa"/>
          </w:tcPr>
          <w:p w14:paraId="2E48D8C4" w14:textId="77777777" w:rsidR="000F16C4" w:rsidRPr="00956C7B" w:rsidRDefault="000F16C4" w:rsidP="000972AF">
            <w:pPr>
              <w:rPr>
                <w:sz w:val="24"/>
                <w:szCs w:val="24"/>
              </w:rPr>
            </w:pPr>
            <w:r w:rsidRPr="00956C7B">
              <w:rPr>
                <w:sz w:val="24"/>
                <w:szCs w:val="24"/>
              </w:rPr>
              <w:t>.45</w:t>
            </w:r>
          </w:p>
        </w:tc>
        <w:tc>
          <w:tcPr>
            <w:tcW w:w="843" w:type="dxa"/>
          </w:tcPr>
          <w:p w14:paraId="3BB0B085" w14:textId="77777777" w:rsidR="000F16C4" w:rsidRPr="00956C7B" w:rsidRDefault="000F16C4" w:rsidP="000972AF">
            <w:pPr>
              <w:rPr>
                <w:sz w:val="24"/>
                <w:szCs w:val="24"/>
              </w:rPr>
            </w:pPr>
            <w:r w:rsidRPr="00956C7B">
              <w:rPr>
                <w:sz w:val="24"/>
                <w:szCs w:val="24"/>
              </w:rPr>
              <w:t>.01</w:t>
            </w:r>
          </w:p>
        </w:tc>
        <w:tc>
          <w:tcPr>
            <w:tcW w:w="844" w:type="dxa"/>
          </w:tcPr>
          <w:p w14:paraId="0470A594" w14:textId="77777777" w:rsidR="000F16C4" w:rsidRPr="00956C7B" w:rsidRDefault="000F16C4" w:rsidP="000972AF">
            <w:pPr>
              <w:rPr>
                <w:sz w:val="24"/>
                <w:szCs w:val="24"/>
              </w:rPr>
            </w:pPr>
            <w:r w:rsidRPr="00956C7B">
              <w:rPr>
                <w:sz w:val="24"/>
                <w:szCs w:val="24"/>
              </w:rPr>
              <w:t>.03</w:t>
            </w:r>
          </w:p>
        </w:tc>
        <w:tc>
          <w:tcPr>
            <w:tcW w:w="843" w:type="dxa"/>
          </w:tcPr>
          <w:p w14:paraId="708CC846" w14:textId="77777777" w:rsidR="000F16C4" w:rsidRPr="00956C7B" w:rsidRDefault="000F16C4" w:rsidP="000972AF">
            <w:pPr>
              <w:rPr>
                <w:sz w:val="24"/>
                <w:szCs w:val="24"/>
              </w:rPr>
            </w:pPr>
            <w:r w:rsidRPr="00956C7B">
              <w:rPr>
                <w:sz w:val="24"/>
                <w:szCs w:val="24"/>
              </w:rPr>
              <w:t>.01</w:t>
            </w:r>
          </w:p>
        </w:tc>
        <w:tc>
          <w:tcPr>
            <w:tcW w:w="844" w:type="dxa"/>
          </w:tcPr>
          <w:p w14:paraId="63EC1765" w14:textId="77777777" w:rsidR="000F16C4" w:rsidRPr="00956C7B" w:rsidRDefault="000F16C4" w:rsidP="000972AF">
            <w:pPr>
              <w:rPr>
                <w:sz w:val="24"/>
                <w:szCs w:val="24"/>
              </w:rPr>
            </w:pPr>
            <w:r w:rsidRPr="00956C7B">
              <w:rPr>
                <w:sz w:val="24"/>
                <w:szCs w:val="24"/>
              </w:rPr>
              <w:t>-.39</w:t>
            </w:r>
          </w:p>
        </w:tc>
        <w:tc>
          <w:tcPr>
            <w:tcW w:w="843" w:type="dxa"/>
          </w:tcPr>
          <w:p w14:paraId="734A622B" w14:textId="77777777" w:rsidR="000F16C4" w:rsidRPr="00956C7B" w:rsidRDefault="000F16C4" w:rsidP="000972AF">
            <w:pPr>
              <w:rPr>
                <w:sz w:val="24"/>
                <w:szCs w:val="24"/>
              </w:rPr>
            </w:pPr>
            <w:r w:rsidRPr="00956C7B">
              <w:rPr>
                <w:sz w:val="24"/>
                <w:szCs w:val="24"/>
              </w:rPr>
              <w:t>-.31</w:t>
            </w:r>
          </w:p>
        </w:tc>
        <w:tc>
          <w:tcPr>
            <w:tcW w:w="844" w:type="dxa"/>
          </w:tcPr>
          <w:p w14:paraId="07A4FBB8" w14:textId="77777777" w:rsidR="000F16C4" w:rsidRPr="00956C7B" w:rsidRDefault="000F16C4" w:rsidP="000972AF">
            <w:pPr>
              <w:rPr>
                <w:sz w:val="24"/>
                <w:szCs w:val="24"/>
              </w:rPr>
            </w:pPr>
          </w:p>
        </w:tc>
        <w:tc>
          <w:tcPr>
            <w:tcW w:w="843" w:type="dxa"/>
          </w:tcPr>
          <w:p w14:paraId="5F596B21" w14:textId="77777777" w:rsidR="000F16C4" w:rsidRPr="00956C7B" w:rsidRDefault="000F16C4" w:rsidP="000972AF">
            <w:pPr>
              <w:rPr>
                <w:sz w:val="24"/>
                <w:szCs w:val="24"/>
              </w:rPr>
            </w:pPr>
          </w:p>
        </w:tc>
        <w:tc>
          <w:tcPr>
            <w:tcW w:w="844" w:type="dxa"/>
          </w:tcPr>
          <w:p w14:paraId="046FAE0E" w14:textId="77777777" w:rsidR="000F16C4" w:rsidRPr="00956C7B" w:rsidRDefault="000F16C4" w:rsidP="000972AF">
            <w:pPr>
              <w:rPr>
                <w:sz w:val="24"/>
                <w:szCs w:val="24"/>
              </w:rPr>
            </w:pPr>
          </w:p>
        </w:tc>
      </w:tr>
      <w:tr w:rsidR="000F16C4" w14:paraId="3139638C" w14:textId="77777777" w:rsidTr="000972AF">
        <w:tc>
          <w:tcPr>
            <w:tcW w:w="1130" w:type="dxa"/>
          </w:tcPr>
          <w:p w14:paraId="609FFAA0" w14:textId="77777777" w:rsidR="000F16C4" w:rsidRPr="00956C7B" w:rsidRDefault="000F16C4" w:rsidP="000972AF">
            <w:pPr>
              <w:rPr>
                <w:sz w:val="24"/>
                <w:szCs w:val="24"/>
              </w:rPr>
            </w:pPr>
            <w:r w:rsidRPr="00956C7B">
              <w:rPr>
                <w:sz w:val="24"/>
                <w:szCs w:val="24"/>
              </w:rPr>
              <w:t>Log R&amp;D exp</w:t>
            </w:r>
            <w:r>
              <w:rPr>
                <w:sz w:val="24"/>
                <w:szCs w:val="24"/>
              </w:rPr>
              <w:t>.</w:t>
            </w:r>
          </w:p>
        </w:tc>
        <w:tc>
          <w:tcPr>
            <w:tcW w:w="793" w:type="dxa"/>
          </w:tcPr>
          <w:p w14:paraId="745EAA75" w14:textId="77777777" w:rsidR="000F16C4" w:rsidRPr="00956C7B" w:rsidRDefault="000F16C4" w:rsidP="000972AF">
            <w:pPr>
              <w:rPr>
                <w:sz w:val="24"/>
                <w:szCs w:val="24"/>
              </w:rPr>
            </w:pPr>
            <w:r w:rsidRPr="00956C7B">
              <w:rPr>
                <w:sz w:val="24"/>
                <w:szCs w:val="24"/>
              </w:rPr>
              <w:t>1.87</w:t>
            </w:r>
          </w:p>
        </w:tc>
        <w:tc>
          <w:tcPr>
            <w:tcW w:w="793" w:type="dxa"/>
          </w:tcPr>
          <w:p w14:paraId="6EBE3EA4" w14:textId="77777777" w:rsidR="000F16C4" w:rsidRPr="00956C7B" w:rsidRDefault="000F16C4" w:rsidP="000972AF">
            <w:pPr>
              <w:rPr>
                <w:sz w:val="24"/>
                <w:szCs w:val="24"/>
              </w:rPr>
            </w:pPr>
            <w:r w:rsidRPr="00956C7B">
              <w:rPr>
                <w:sz w:val="24"/>
                <w:szCs w:val="24"/>
              </w:rPr>
              <w:t>3.44</w:t>
            </w:r>
          </w:p>
        </w:tc>
        <w:tc>
          <w:tcPr>
            <w:tcW w:w="843" w:type="dxa"/>
          </w:tcPr>
          <w:p w14:paraId="13760866" w14:textId="77777777" w:rsidR="000F16C4" w:rsidRPr="00956C7B" w:rsidRDefault="000F16C4" w:rsidP="000972AF">
            <w:pPr>
              <w:rPr>
                <w:sz w:val="24"/>
                <w:szCs w:val="24"/>
              </w:rPr>
            </w:pPr>
            <w:r w:rsidRPr="00956C7B">
              <w:rPr>
                <w:sz w:val="24"/>
                <w:szCs w:val="24"/>
              </w:rPr>
              <w:t>.36</w:t>
            </w:r>
          </w:p>
        </w:tc>
        <w:tc>
          <w:tcPr>
            <w:tcW w:w="844" w:type="dxa"/>
          </w:tcPr>
          <w:p w14:paraId="322CFD68" w14:textId="77777777" w:rsidR="000F16C4" w:rsidRPr="00956C7B" w:rsidRDefault="000F16C4" w:rsidP="000972AF">
            <w:pPr>
              <w:rPr>
                <w:sz w:val="24"/>
                <w:szCs w:val="24"/>
              </w:rPr>
            </w:pPr>
            <w:r w:rsidRPr="00956C7B">
              <w:rPr>
                <w:sz w:val="24"/>
                <w:szCs w:val="24"/>
              </w:rPr>
              <w:t>.39</w:t>
            </w:r>
          </w:p>
        </w:tc>
        <w:tc>
          <w:tcPr>
            <w:tcW w:w="843" w:type="dxa"/>
          </w:tcPr>
          <w:p w14:paraId="03025C25" w14:textId="77777777" w:rsidR="000F16C4" w:rsidRPr="00956C7B" w:rsidRDefault="000F16C4" w:rsidP="000972AF">
            <w:pPr>
              <w:rPr>
                <w:sz w:val="24"/>
                <w:szCs w:val="24"/>
              </w:rPr>
            </w:pPr>
            <w:r w:rsidRPr="00956C7B">
              <w:rPr>
                <w:sz w:val="24"/>
                <w:szCs w:val="24"/>
              </w:rPr>
              <w:t>.41</w:t>
            </w:r>
          </w:p>
        </w:tc>
        <w:tc>
          <w:tcPr>
            <w:tcW w:w="844" w:type="dxa"/>
          </w:tcPr>
          <w:p w14:paraId="0C95B75C" w14:textId="77777777" w:rsidR="000F16C4" w:rsidRPr="00956C7B" w:rsidRDefault="000F16C4" w:rsidP="000972AF">
            <w:pPr>
              <w:rPr>
                <w:sz w:val="24"/>
                <w:szCs w:val="24"/>
              </w:rPr>
            </w:pPr>
            <w:r w:rsidRPr="00956C7B">
              <w:rPr>
                <w:sz w:val="24"/>
                <w:szCs w:val="24"/>
              </w:rPr>
              <w:t>.03</w:t>
            </w:r>
          </w:p>
        </w:tc>
        <w:tc>
          <w:tcPr>
            <w:tcW w:w="843" w:type="dxa"/>
          </w:tcPr>
          <w:p w14:paraId="66A7F593" w14:textId="77777777" w:rsidR="000F16C4" w:rsidRPr="00956C7B" w:rsidRDefault="000F16C4" w:rsidP="000972AF">
            <w:pPr>
              <w:rPr>
                <w:sz w:val="24"/>
                <w:szCs w:val="24"/>
              </w:rPr>
            </w:pPr>
            <w:r w:rsidRPr="00956C7B">
              <w:rPr>
                <w:sz w:val="24"/>
                <w:szCs w:val="24"/>
              </w:rPr>
              <w:t>.03</w:t>
            </w:r>
          </w:p>
        </w:tc>
        <w:tc>
          <w:tcPr>
            <w:tcW w:w="844" w:type="dxa"/>
          </w:tcPr>
          <w:p w14:paraId="5484FF3A" w14:textId="77777777" w:rsidR="000F16C4" w:rsidRPr="00956C7B" w:rsidRDefault="000F16C4" w:rsidP="000972AF">
            <w:pPr>
              <w:rPr>
                <w:sz w:val="24"/>
                <w:szCs w:val="24"/>
              </w:rPr>
            </w:pPr>
            <w:r w:rsidRPr="00956C7B">
              <w:rPr>
                <w:sz w:val="24"/>
                <w:szCs w:val="24"/>
              </w:rPr>
              <w:t>.00</w:t>
            </w:r>
          </w:p>
        </w:tc>
        <w:tc>
          <w:tcPr>
            <w:tcW w:w="843" w:type="dxa"/>
          </w:tcPr>
          <w:p w14:paraId="0D404823" w14:textId="77777777" w:rsidR="000F16C4" w:rsidRPr="00956C7B" w:rsidRDefault="000F16C4" w:rsidP="000972AF">
            <w:pPr>
              <w:rPr>
                <w:sz w:val="24"/>
                <w:szCs w:val="24"/>
              </w:rPr>
            </w:pPr>
          </w:p>
        </w:tc>
        <w:tc>
          <w:tcPr>
            <w:tcW w:w="844" w:type="dxa"/>
          </w:tcPr>
          <w:p w14:paraId="761C280D" w14:textId="77777777" w:rsidR="000F16C4" w:rsidRPr="00956C7B" w:rsidRDefault="000F16C4" w:rsidP="000972AF">
            <w:pPr>
              <w:rPr>
                <w:sz w:val="24"/>
                <w:szCs w:val="24"/>
              </w:rPr>
            </w:pPr>
          </w:p>
        </w:tc>
      </w:tr>
      <w:tr w:rsidR="000F16C4" w14:paraId="1F237883" w14:textId="77777777" w:rsidTr="000972AF">
        <w:tc>
          <w:tcPr>
            <w:tcW w:w="1130" w:type="dxa"/>
          </w:tcPr>
          <w:p w14:paraId="01ACD033" w14:textId="77777777" w:rsidR="000F16C4" w:rsidRPr="00956C7B" w:rsidRDefault="000F16C4" w:rsidP="000972AF">
            <w:pPr>
              <w:rPr>
                <w:sz w:val="24"/>
                <w:szCs w:val="24"/>
              </w:rPr>
            </w:pPr>
            <w:r w:rsidRPr="00956C7B">
              <w:rPr>
                <w:sz w:val="24"/>
                <w:szCs w:val="24"/>
              </w:rPr>
              <w:t>Log no. empl</w:t>
            </w:r>
            <w:r>
              <w:rPr>
                <w:sz w:val="24"/>
                <w:szCs w:val="24"/>
              </w:rPr>
              <w:t>.</w:t>
            </w:r>
          </w:p>
        </w:tc>
        <w:tc>
          <w:tcPr>
            <w:tcW w:w="793" w:type="dxa"/>
          </w:tcPr>
          <w:p w14:paraId="5DBBDBF0" w14:textId="77777777" w:rsidR="000F16C4" w:rsidRPr="00956C7B" w:rsidRDefault="000F16C4" w:rsidP="000972AF">
            <w:pPr>
              <w:rPr>
                <w:sz w:val="24"/>
                <w:szCs w:val="24"/>
              </w:rPr>
            </w:pPr>
            <w:r w:rsidRPr="00956C7B">
              <w:rPr>
                <w:sz w:val="24"/>
                <w:szCs w:val="24"/>
              </w:rPr>
              <w:t>3.38</w:t>
            </w:r>
          </w:p>
        </w:tc>
        <w:tc>
          <w:tcPr>
            <w:tcW w:w="793" w:type="dxa"/>
          </w:tcPr>
          <w:p w14:paraId="0AF174DD" w14:textId="77777777" w:rsidR="000F16C4" w:rsidRPr="00956C7B" w:rsidRDefault="000F16C4" w:rsidP="000972AF">
            <w:pPr>
              <w:rPr>
                <w:sz w:val="24"/>
                <w:szCs w:val="24"/>
              </w:rPr>
            </w:pPr>
            <w:r w:rsidRPr="00956C7B">
              <w:rPr>
                <w:sz w:val="24"/>
                <w:szCs w:val="24"/>
              </w:rPr>
              <w:t>1.28</w:t>
            </w:r>
          </w:p>
        </w:tc>
        <w:tc>
          <w:tcPr>
            <w:tcW w:w="843" w:type="dxa"/>
          </w:tcPr>
          <w:p w14:paraId="6C1CF143" w14:textId="77777777" w:rsidR="000F16C4" w:rsidRPr="00956C7B" w:rsidRDefault="000F16C4" w:rsidP="000972AF">
            <w:pPr>
              <w:rPr>
                <w:sz w:val="24"/>
                <w:szCs w:val="24"/>
              </w:rPr>
            </w:pPr>
            <w:r w:rsidRPr="00956C7B">
              <w:rPr>
                <w:sz w:val="24"/>
                <w:szCs w:val="24"/>
              </w:rPr>
              <w:t>.13</w:t>
            </w:r>
          </w:p>
        </w:tc>
        <w:tc>
          <w:tcPr>
            <w:tcW w:w="844" w:type="dxa"/>
          </w:tcPr>
          <w:p w14:paraId="2D609346" w14:textId="77777777" w:rsidR="000F16C4" w:rsidRPr="00956C7B" w:rsidRDefault="000F16C4" w:rsidP="000972AF">
            <w:pPr>
              <w:rPr>
                <w:sz w:val="24"/>
                <w:szCs w:val="24"/>
              </w:rPr>
            </w:pPr>
            <w:r w:rsidRPr="00956C7B">
              <w:rPr>
                <w:sz w:val="24"/>
                <w:szCs w:val="24"/>
              </w:rPr>
              <w:t>.18</w:t>
            </w:r>
          </w:p>
        </w:tc>
        <w:tc>
          <w:tcPr>
            <w:tcW w:w="843" w:type="dxa"/>
          </w:tcPr>
          <w:p w14:paraId="6CFEA8B0" w14:textId="77777777" w:rsidR="000F16C4" w:rsidRPr="00956C7B" w:rsidRDefault="000F16C4" w:rsidP="000972AF">
            <w:pPr>
              <w:rPr>
                <w:sz w:val="24"/>
                <w:szCs w:val="24"/>
              </w:rPr>
            </w:pPr>
            <w:r w:rsidRPr="00956C7B">
              <w:rPr>
                <w:sz w:val="24"/>
                <w:szCs w:val="24"/>
              </w:rPr>
              <w:t>.19</w:t>
            </w:r>
          </w:p>
        </w:tc>
        <w:tc>
          <w:tcPr>
            <w:tcW w:w="844" w:type="dxa"/>
          </w:tcPr>
          <w:p w14:paraId="009A53FD" w14:textId="77777777" w:rsidR="000F16C4" w:rsidRPr="00956C7B" w:rsidRDefault="000F16C4" w:rsidP="000972AF">
            <w:pPr>
              <w:rPr>
                <w:sz w:val="24"/>
                <w:szCs w:val="24"/>
              </w:rPr>
            </w:pPr>
            <w:r w:rsidRPr="00956C7B">
              <w:rPr>
                <w:sz w:val="24"/>
                <w:szCs w:val="24"/>
              </w:rPr>
              <w:t>.08</w:t>
            </w:r>
          </w:p>
        </w:tc>
        <w:tc>
          <w:tcPr>
            <w:tcW w:w="843" w:type="dxa"/>
          </w:tcPr>
          <w:p w14:paraId="3B94C1B0" w14:textId="77777777" w:rsidR="000F16C4" w:rsidRPr="00956C7B" w:rsidRDefault="000F16C4" w:rsidP="000972AF">
            <w:pPr>
              <w:rPr>
                <w:sz w:val="24"/>
                <w:szCs w:val="24"/>
              </w:rPr>
            </w:pPr>
            <w:r w:rsidRPr="00956C7B">
              <w:rPr>
                <w:sz w:val="24"/>
                <w:szCs w:val="24"/>
              </w:rPr>
              <w:t>.02</w:t>
            </w:r>
          </w:p>
        </w:tc>
        <w:tc>
          <w:tcPr>
            <w:tcW w:w="844" w:type="dxa"/>
          </w:tcPr>
          <w:p w14:paraId="54D7604B" w14:textId="77777777" w:rsidR="000F16C4" w:rsidRPr="00956C7B" w:rsidRDefault="000F16C4" w:rsidP="000972AF">
            <w:pPr>
              <w:rPr>
                <w:sz w:val="24"/>
                <w:szCs w:val="24"/>
              </w:rPr>
            </w:pPr>
            <w:r w:rsidRPr="00956C7B">
              <w:rPr>
                <w:sz w:val="24"/>
                <w:szCs w:val="24"/>
              </w:rPr>
              <w:t>-.02</w:t>
            </w:r>
          </w:p>
        </w:tc>
        <w:tc>
          <w:tcPr>
            <w:tcW w:w="843" w:type="dxa"/>
          </w:tcPr>
          <w:p w14:paraId="6595FD01" w14:textId="77777777" w:rsidR="000F16C4" w:rsidRPr="00956C7B" w:rsidRDefault="000F16C4" w:rsidP="000972AF">
            <w:pPr>
              <w:rPr>
                <w:sz w:val="24"/>
                <w:szCs w:val="24"/>
              </w:rPr>
            </w:pPr>
            <w:r w:rsidRPr="00956C7B">
              <w:rPr>
                <w:sz w:val="24"/>
                <w:szCs w:val="24"/>
              </w:rPr>
              <w:t>.24</w:t>
            </w:r>
          </w:p>
        </w:tc>
        <w:tc>
          <w:tcPr>
            <w:tcW w:w="844" w:type="dxa"/>
          </w:tcPr>
          <w:p w14:paraId="4617EE72" w14:textId="77777777" w:rsidR="000F16C4" w:rsidRPr="00956C7B" w:rsidRDefault="000F16C4" w:rsidP="000972AF">
            <w:pPr>
              <w:rPr>
                <w:sz w:val="24"/>
                <w:szCs w:val="24"/>
              </w:rPr>
            </w:pPr>
          </w:p>
        </w:tc>
      </w:tr>
      <w:tr w:rsidR="000F16C4" w14:paraId="00A84BA0" w14:textId="77777777" w:rsidTr="000972AF">
        <w:tc>
          <w:tcPr>
            <w:tcW w:w="1130" w:type="dxa"/>
          </w:tcPr>
          <w:p w14:paraId="2ED2FF0D" w14:textId="77777777" w:rsidR="000F16C4" w:rsidRPr="00956C7B" w:rsidRDefault="000F16C4" w:rsidP="000972AF">
            <w:pPr>
              <w:rPr>
                <w:sz w:val="24"/>
                <w:szCs w:val="24"/>
              </w:rPr>
            </w:pPr>
            <w:r w:rsidRPr="00956C7B">
              <w:rPr>
                <w:sz w:val="24"/>
                <w:szCs w:val="24"/>
              </w:rPr>
              <w:t>Log % educated empl</w:t>
            </w:r>
            <w:r>
              <w:rPr>
                <w:sz w:val="24"/>
                <w:szCs w:val="24"/>
              </w:rPr>
              <w:t>.</w:t>
            </w:r>
          </w:p>
        </w:tc>
        <w:tc>
          <w:tcPr>
            <w:tcW w:w="793" w:type="dxa"/>
          </w:tcPr>
          <w:p w14:paraId="6F8F57CF" w14:textId="77777777" w:rsidR="000F16C4" w:rsidRPr="00956C7B" w:rsidRDefault="000F16C4" w:rsidP="000972AF">
            <w:pPr>
              <w:rPr>
                <w:sz w:val="24"/>
                <w:szCs w:val="24"/>
              </w:rPr>
            </w:pPr>
            <w:r w:rsidRPr="00956C7B">
              <w:rPr>
                <w:sz w:val="24"/>
                <w:szCs w:val="24"/>
              </w:rPr>
              <w:t>.21</w:t>
            </w:r>
          </w:p>
        </w:tc>
        <w:tc>
          <w:tcPr>
            <w:tcW w:w="793" w:type="dxa"/>
          </w:tcPr>
          <w:p w14:paraId="692881FA" w14:textId="77777777" w:rsidR="000F16C4" w:rsidRPr="00956C7B" w:rsidRDefault="000F16C4" w:rsidP="000972AF">
            <w:pPr>
              <w:rPr>
                <w:sz w:val="24"/>
                <w:szCs w:val="24"/>
              </w:rPr>
            </w:pPr>
            <w:r w:rsidRPr="00956C7B">
              <w:rPr>
                <w:sz w:val="24"/>
                <w:szCs w:val="24"/>
              </w:rPr>
              <w:t>.20</w:t>
            </w:r>
          </w:p>
        </w:tc>
        <w:tc>
          <w:tcPr>
            <w:tcW w:w="843" w:type="dxa"/>
          </w:tcPr>
          <w:p w14:paraId="520F55AC" w14:textId="77777777" w:rsidR="000F16C4" w:rsidRPr="00956C7B" w:rsidRDefault="000F16C4" w:rsidP="000972AF">
            <w:pPr>
              <w:rPr>
                <w:sz w:val="24"/>
                <w:szCs w:val="24"/>
              </w:rPr>
            </w:pPr>
            <w:r w:rsidRPr="00956C7B">
              <w:rPr>
                <w:sz w:val="24"/>
                <w:szCs w:val="24"/>
              </w:rPr>
              <w:t>.13</w:t>
            </w:r>
          </w:p>
        </w:tc>
        <w:tc>
          <w:tcPr>
            <w:tcW w:w="844" w:type="dxa"/>
          </w:tcPr>
          <w:p w14:paraId="31567902" w14:textId="77777777" w:rsidR="000F16C4" w:rsidRPr="00956C7B" w:rsidRDefault="000F16C4" w:rsidP="000972AF">
            <w:pPr>
              <w:rPr>
                <w:sz w:val="24"/>
                <w:szCs w:val="24"/>
              </w:rPr>
            </w:pPr>
            <w:r w:rsidRPr="00956C7B">
              <w:rPr>
                <w:sz w:val="24"/>
                <w:szCs w:val="24"/>
              </w:rPr>
              <w:t>.11</w:t>
            </w:r>
          </w:p>
        </w:tc>
        <w:tc>
          <w:tcPr>
            <w:tcW w:w="843" w:type="dxa"/>
          </w:tcPr>
          <w:p w14:paraId="5D6D0D2E" w14:textId="77777777" w:rsidR="000F16C4" w:rsidRPr="00956C7B" w:rsidRDefault="000F16C4" w:rsidP="000972AF">
            <w:pPr>
              <w:rPr>
                <w:sz w:val="24"/>
                <w:szCs w:val="24"/>
              </w:rPr>
            </w:pPr>
            <w:r w:rsidRPr="00956C7B">
              <w:rPr>
                <w:sz w:val="24"/>
                <w:szCs w:val="24"/>
              </w:rPr>
              <w:t>.14</w:t>
            </w:r>
          </w:p>
        </w:tc>
        <w:tc>
          <w:tcPr>
            <w:tcW w:w="844" w:type="dxa"/>
          </w:tcPr>
          <w:p w14:paraId="3B9F742E" w14:textId="77777777" w:rsidR="000F16C4" w:rsidRPr="00956C7B" w:rsidRDefault="000F16C4" w:rsidP="000972AF">
            <w:pPr>
              <w:rPr>
                <w:sz w:val="24"/>
                <w:szCs w:val="24"/>
              </w:rPr>
            </w:pPr>
            <w:r w:rsidRPr="00956C7B">
              <w:rPr>
                <w:sz w:val="24"/>
                <w:szCs w:val="24"/>
              </w:rPr>
              <w:t>.35</w:t>
            </w:r>
          </w:p>
        </w:tc>
        <w:tc>
          <w:tcPr>
            <w:tcW w:w="843" w:type="dxa"/>
          </w:tcPr>
          <w:p w14:paraId="6F38D3B6" w14:textId="77777777" w:rsidR="000F16C4" w:rsidRPr="00956C7B" w:rsidRDefault="000F16C4" w:rsidP="000972AF">
            <w:pPr>
              <w:rPr>
                <w:sz w:val="24"/>
                <w:szCs w:val="24"/>
              </w:rPr>
            </w:pPr>
            <w:r w:rsidRPr="00956C7B">
              <w:rPr>
                <w:sz w:val="24"/>
                <w:szCs w:val="24"/>
              </w:rPr>
              <w:t>.02</w:t>
            </w:r>
          </w:p>
        </w:tc>
        <w:tc>
          <w:tcPr>
            <w:tcW w:w="844" w:type="dxa"/>
          </w:tcPr>
          <w:p w14:paraId="721EE680" w14:textId="77777777" w:rsidR="000F16C4" w:rsidRPr="00956C7B" w:rsidRDefault="000F16C4" w:rsidP="000972AF">
            <w:pPr>
              <w:rPr>
                <w:sz w:val="24"/>
                <w:szCs w:val="24"/>
              </w:rPr>
            </w:pPr>
            <w:r w:rsidRPr="00956C7B">
              <w:rPr>
                <w:sz w:val="24"/>
                <w:szCs w:val="24"/>
              </w:rPr>
              <w:t>-.14</w:t>
            </w:r>
          </w:p>
        </w:tc>
        <w:tc>
          <w:tcPr>
            <w:tcW w:w="843" w:type="dxa"/>
          </w:tcPr>
          <w:p w14:paraId="267DA03B" w14:textId="77777777" w:rsidR="000F16C4" w:rsidRPr="00956C7B" w:rsidRDefault="000F16C4" w:rsidP="000972AF">
            <w:pPr>
              <w:rPr>
                <w:sz w:val="24"/>
                <w:szCs w:val="24"/>
              </w:rPr>
            </w:pPr>
            <w:r w:rsidRPr="00956C7B">
              <w:rPr>
                <w:sz w:val="24"/>
                <w:szCs w:val="24"/>
              </w:rPr>
              <w:t>.32</w:t>
            </w:r>
          </w:p>
        </w:tc>
        <w:tc>
          <w:tcPr>
            <w:tcW w:w="844" w:type="dxa"/>
          </w:tcPr>
          <w:p w14:paraId="3C78C848" w14:textId="77777777" w:rsidR="000F16C4" w:rsidRPr="00956C7B" w:rsidRDefault="000F16C4" w:rsidP="000972AF">
            <w:pPr>
              <w:rPr>
                <w:sz w:val="24"/>
                <w:szCs w:val="24"/>
              </w:rPr>
            </w:pPr>
            <w:r w:rsidRPr="00956C7B">
              <w:rPr>
                <w:sz w:val="24"/>
                <w:szCs w:val="24"/>
              </w:rPr>
              <w:t>.00</w:t>
            </w:r>
          </w:p>
        </w:tc>
      </w:tr>
    </w:tbl>
    <w:p w14:paraId="5369E7F4" w14:textId="77777777" w:rsidR="000F16C4" w:rsidRPr="00607E7C" w:rsidRDefault="000F16C4" w:rsidP="000F16C4">
      <w:pPr>
        <w:rPr>
          <w:rFonts w:ascii="Trebuchet MS" w:hAnsi="Trebuchet MS"/>
          <w:sz w:val="20"/>
        </w:rPr>
      </w:pPr>
    </w:p>
    <w:p w14:paraId="20F469A4" w14:textId="77777777" w:rsidR="000F16C4" w:rsidRDefault="000F16C4" w:rsidP="000F16C4">
      <w:pPr>
        <w:spacing w:line="259" w:lineRule="auto"/>
        <w:rPr>
          <w:rFonts w:ascii="Trebuchet MS" w:hAnsi="Trebuchet MS"/>
          <w:sz w:val="20"/>
        </w:rPr>
      </w:pPr>
      <w:r>
        <w:rPr>
          <w:rFonts w:ascii="Trebuchet MS" w:hAnsi="Trebuchet MS"/>
          <w:sz w:val="20"/>
        </w:rPr>
        <w:br w:type="page"/>
      </w:r>
    </w:p>
    <w:p w14:paraId="5B856A08" w14:textId="77777777" w:rsidR="000F16C4" w:rsidRPr="00196044" w:rsidRDefault="000F16C4" w:rsidP="000F16C4">
      <w:pPr>
        <w:keepNext/>
        <w:rPr>
          <w:b/>
          <w:szCs w:val="24"/>
          <w:lang w:val="en-US"/>
        </w:rPr>
      </w:pPr>
      <w:r>
        <w:rPr>
          <w:b/>
          <w:szCs w:val="24"/>
          <w:lang w:val="en-US"/>
        </w:rPr>
        <w:lastRenderedPageBreak/>
        <w:t xml:space="preserve">Appendix </w:t>
      </w:r>
      <w:r w:rsidRPr="00196044">
        <w:rPr>
          <w:b/>
          <w:szCs w:val="24"/>
          <w:lang w:val="en-US"/>
        </w:rPr>
        <w:t xml:space="preserve">Table </w:t>
      </w:r>
      <w:r>
        <w:rPr>
          <w:b/>
          <w:szCs w:val="24"/>
          <w:lang w:val="en-US"/>
        </w:rPr>
        <w:t>A.3</w:t>
      </w:r>
      <w:r w:rsidRPr="00196044">
        <w:rPr>
          <w:b/>
          <w:szCs w:val="24"/>
          <w:lang w:val="en-US"/>
        </w:rPr>
        <w:t xml:space="preserve">: </w:t>
      </w:r>
      <w:r>
        <w:rPr>
          <w:b/>
          <w:szCs w:val="24"/>
          <w:lang w:val="en-US"/>
        </w:rPr>
        <w:t>Sampled firms in region by industry</w:t>
      </w:r>
    </w:p>
    <w:tbl>
      <w:tblPr>
        <w:tblW w:w="0" w:type="auto"/>
        <w:tblLayout w:type="fixed"/>
        <w:tblLook w:val="00A0" w:firstRow="1" w:lastRow="0" w:firstColumn="1" w:lastColumn="0" w:noHBand="0" w:noVBand="0"/>
      </w:tblPr>
      <w:tblGrid>
        <w:gridCol w:w="4536"/>
        <w:gridCol w:w="993"/>
        <w:gridCol w:w="1134"/>
        <w:gridCol w:w="992"/>
        <w:gridCol w:w="1417"/>
      </w:tblGrid>
      <w:tr w:rsidR="000F16C4" w:rsidRPr="00196044" w14:paraId="42021B55" w14:textId="77777777" w:rsidTr="000972AF">
        <w:tc>
          <w:tcPr>
            <w:tcW w:w="4536" w:type="dxa"/>
            <w:tcBorders>
              <w:bottom w:val="single" w:sz="4" w:space="0" w:color="auto"/>
            </w:tcBorders>
          </w:tcPr>
          <w:p w14:paraId="28418A40" w14:textId="77777777" w:rsidR="000F16C4" w:rsidRPr="00196044" w:rsidRDefault="000F16C4" w:rsidP="000972AF">
            <w:pPr>
              <w:keepNext/>
              <w:spacing w:after="0"/>
              <w:rPr>
                <w:i/>
                <w:szCs w:val="24"/>
                <w:lang w:val="en-US"/>
              </w:rPr>
            </w:pPr>
            <w:r w:rsidRPr="00196044">
              <w:rPr>
                <w:i/>
                <w:szCs w:val="24"/>
                <w:lang w:val="en-US"/>
              </w:rPr>
              <w:t>Industry</w:t>
            </w:r>
          </w:p>
        </w:tc>
        <w:tc>
          <w:tcPr>
            <w:tcW w:w="993" w:type="dxa"/>
            <w:tcBorders>
              <w:bottom w:val="single" w:sz="4" w:space="0" w:color="auto"/>
            </w:tcBorders>
          </w:tcPr>
          <w:p w14:paraId="75618ED1" w14:textId="77777777" w:rsidR="000F16C4" w:rsidRPr="00196044" w:rsidRDefault="000F16C4" w:rsidP="000972AF">
            <w:pPr>
              <w:keepNext/>
              <w:spacing w:after="0"/>
              <w:rPr>
                <w:i/>
                <w:szCs w:val="24"/>
                <w:lang w:val="en-US"/>
              </w:rPr>
            </w:pPr>
            <w:r>
              <w:rPr>
                <w:i/>
                <w:szCs w:val="24"/>
                <w:lang w:val="en-US"/>
              </w:rPr>
              <w:t>Big city</w:t>
            </w:r>
          </w:p>
        </w:tc>
        <w:tc>
          <w:tcPr>
            <w:tcW w:w="1134" w:type="dxa"/>
            <w:tcBorders>
              <w:bottom w:val="single" w:sz="4" w:space="0" w:color="auto"/>
            </w:tcBorders>
          </w:tcPr>
          <w:p w14:paraId="3AB0D266" w14:textId="77777777" w:rsidR="000F16C4" w:rsidRPr="00196044" w:rsidRDefault="000F16C4" w:rsidP="000972AF">
            <w:pPr>
              <w:keepNext/>
              <w:spacing w:after="0"/>
              <w:rPr>
                <w:i/>
                <w:szCs w:val="24"/>
                <w:lang w:val="en-US"/>
              </w:rPr>
            </w:pPr>
            <w:r>
              <w:rPr>
                <w:i/>
                <w:szCs w:val="24"/>
                <w:lang w:val="en-US"/>
              </w:rPr>
              <w:t>Medium city</w:t>
            </w:r>
          </w:p>
        </w:tc>
        <w:tc>
          <w:tcPr>
            <w:tcW w:w="992" w:type="dxa"/>
            <w:tcBorders>
              <w:bottom w:val="single" w:sz="4" w:space="0" w:color="auto"/>
            </w:tcBorders>
          </w:tcPr>
          <w:p w14:paraId="2C84713E" w14:textId="77777777" w:rsidR="000F16C4" w:rsidRPr="00196044" w:rsidRDefault="000F16C4" w:rsidP="000972AF">
            <w:pPr>
              <w:keepNext/>
              <w:spacing w:after="0"/>
              <w:rPr>
                <w:i/>
                <w:szCs w:val="24"/>
                <w:lang w:val="en-US"/>
              </w:rPr>
            </w:pPr>
            <w:r>
              <w:rPr>
                <w:i/>
                <w:szCs w:val="24"/>
                <w:lang w:val="en-US"/>
              </w:rPr>
              <w:t>Small city</w:t>
            </w:r>
          </w:p>
        </w:tc>
        <w:tc>
          <w:tcPr>
            <w:tcW w:w="1417" w:type="dxa"/>
            <w:tcBorders>
              <w:bottom w:val="single" w:sz="4" w:space="0" w:color="auto"/>
            </w:tcBorders>
          </w:tcPr>
          <w:p w14:paraId="6FF9175C" w14:textId="77777777" w:rsidR="000F16C4" w:rsidRPr="00196044" w:rsidRDefault="000F16C4" w:rsidP="000972AF">
            <w:pPr>
              <w:keepNext/>
              <w:spacing w:after="0"/>
              <w:rPr>
                <w:i/>
                <w:szCs w:val="24"/>
                <w:lang w:val="en-US"/>
              </w:rPr>
            </w:pPr>
            <w:r>
              <w:rPr>
                <w:i/>
                <w:szCs w:val="24"/>
                <w:lang w:val="en-US"/>
              </w:rPr>
              <w:t>Peripheral</w:t>
            </w:r>
          </w:p>
        </w:tc>
      </w:tr>
      <w:tr w:rsidR="000F16C4" w:rsidRPr="00196044" w14:paraId="0D43CBA1" w14:textId="77777777" w:rsidTr="000972AF">
        <w:tc>
          <w:tcPr>
            <w:tcW w:w="4536" w:type="dxa"/>
            <w:tcBorders>
              <w:top w:val="single" w:sz="4" w:space="0" w:color="auto"/>
            </w:tcBorders>
          </w:tcPr>
          <w:p w14:paraId="65DF6FE8" w14:textId="77777777" w:rsidR="000F16C4" w:rsidRPr="00196044" w:rsidRDefault="000F16C4" w:rsidP="000972AF">
            <w:pPr>
              <w:keepNext/>
              <w:spacing w:after="0"/>
              <w:rPr>
                <w:szCs w:val="24"/>
                <w:lang w:val="en-US"/>
              </w:rPr>
            </w:pPr>
            <w:r w:rsidRPr="00196044">
              <w:rPr>
                <w:szCs w:val="24"/>
                <w:lang w:val="en-US"/>
              </w:rPr>
              <w:t>Seafood</w:t>
            </w:r>
          </w:p>
        </w:tc>
        <w:tc>
          <w:tcPr>
            <w:tcW w:w="993" w:type="dxa"/>
            <w:tcBorders>
              <w:top w:val="single" w:sz="4" w:space="0" w:color="auto"/>
            </w:tcBorders>
          </w:tcPr>
          <w:p w14:paraId="47D503ED" w14:textId="77777777" w:rsidR="000F16C4" w:rsidRPr="00196044" w:rsidRDefault="000F16C4" w:rsidP="000972AF">
            <w:pPr>
              <w:keepNext/>
              <w:spacing w:after="0"/>
              <w:rPr>
                <w:szCs w:val="24"/>
                <w:lang w:val="en-US"/>
              </w:rPr>
            </w:pPr>
            <w:r>
              <w:rPr>
                <w:szCs w:val="24"/>
                <w:lang w:val="en-US"/>
              </w:rPr>
              <w:t>0.0</w:t>
            </w:r>
          </w:p>
        </w:tc>
        <w:tc>
          <w:tcPr>
            <w:tcW w:w="1134" w:type="dxa"/>
            <w:tcBorders>
              <w:top w:val="single" w:sz="4" w:space="0" w:color="auto"/>
            </w:tcBorders>
          </w:tcPr>
          <w:p w14:paraId="52048379" w14:textId="77777777" w:rsidR="000F16C4" w:rsidRPr="00196044" w:rsidRDefault="000F16C4" w:rsidP="000972AF">
            <w:pPr>
              <w:keepNext/>
              <w:spacing w:after="0"/>
              <w:rPr>
                <w:szCs w:val="24"/>
                <w:lang w:val="en-US"/>
              </w:rPr>
            </w:pPr>
            <w:r>
              <w:rPr>
                <w:szCs w:val="24"/>
                <w:lang w:val="en-US"/>
              </w:rPr>
              <w:t>1.3</w:t>
            </w:r>
          </w:p>
        </w:tc>
        <w:tc>
          <w:tcPr>
            <w:tcW w:w="992" w:type="dxa"/>
            <w:tcBorders>
              <w:top w:val="single" w:sz="4" w:space="0" w:color="auto"/>
            </w:tcBorders>
          </w:tcPr>
          <w:p w14:paraId="123493C6" w14:textId="77777777" w:rsidR="000F16C4" w:rsidRPr="00196044" w:rsidRDefault="000F16C4" w:rsidP="000972AF">
            <w:pPr>
              <w:keepNext/>
              <w:spacing w:after="0"/>
              <w:rPr>
                <w:szCs w:val="24"/>
                <w:lang w:val="en-US"/>
              </w:rPr>
            </w:pPr>
            <w:r>
              <w:rPr>
                <w:szCs w:val="24"/>
                <w:lang w:val="en-US"/>
              </w:rPr>
              <w:t>0.6</w:t>
            </w:r>
          </w:p>
        </w:tc>
        <w:tc>
          <w:tcPr>
            <w:tcW w:w="1417" w:type="dxa"/>
            <w:tcBorders>
              <w:top w:val="single" w:sz="4" w:space="0" w:color="auto"/>
            </w:tcBorders>
          </w:tcPr>
          <w:p w14:paraId="0615CC1B" w14:textId="77777777" w:rsidR="000F16C4" w:rsidRPr="00196044" w:rsidRDefault="000F16C4" w:rsidP="000972AF">
            <w:pPr>
              <w:keepNext/>
              <w:spacing w:after="0"/>
              <w:rPr>
                <w:szCs w:val="24"/>
                <w:lang w:val="en-US"/>
              </w:rPr>
            </w:pPr>
            <w:r>
              <w:rPr>
                <w:szCs w:val="24"/>
                <w:lang w:val="en-US"/>
              </w:rPr>
              <w:t>3.9</w:t>
            </w:r>
          </w:p>
        </w:tc>
      </w:tr>
      <w:tr w:rsidR="000F16C4" w:rsidRPr="00196044" w14:paraId="369AE218" w14:textId="77777777" w:rsidTr="000972AF">
        <w:tc>
          <w:tcPr>
            <w:tcW w:w="4536" w:type="dxa"/>
          </w:tcPr>
          <w:p w14:paraId="7CE78C38" w14:textId="77777777" w:rsidR="000F16C4" w:rsidRPr="00196044" w:rsidRDefault="000F16C4" w:rsidP="000972AF">
            <w:pPr>
              <w:keepNext/>
              <w:spacing w:after="0"/>
              <w:rPr>
                <w:szCs w:val="24"/>
                <w:lang w:val="en-US"/>
              </w:rPr>
            </w:pPr>
            <w:r w:rsidRPr="00196044">
              <w:rPr>
                <w:szCs w:val="24"/>
                <w:lang w:val="en-US"/>
              </w:rPr>
              <w:t>Mining and quarrying</w:t>
            </w:r>
          </w:p>
        </w:tc>
        <w:tc>
          <w:tcPr>
            <w:tcW w:w="993" w:type="dxa"/>
          </w:tcPr>
          <w:p w14:paraId="59FB2B0A" w14:textId="77777777" w:rsidR="000F16C4" w:rsidRPr="00196044" w:rsidRDefault="000F16C4" w:rsidP="000972AF">
            <w:pPr>
              <w:keepNext/>
              <w:spacing w:after="0"/>
              <w:rPr>
                <w:szCs w:val="24"/>
                <w:lang w:val="en-US"/>
              </w:rPr>
            </w:pPr>
            <w:r>
              <w:rPr>
                <w:szCs w:val="24"/>
                <w:lang w:val="en-US"/>
              </w:rPr>
              <w:t>1.8</w:t>
            </w:r>
          </w:p>
        </w:tc>
        <w:tc>
          <w:tcPr>
            <w:tcW w:w="1134" w:type="dxa"/>
          </w:tcPr>
          <w:p w14:paraId="13AF11A7" w14:textId="77777777" w:rsidR="000F16C4" w:rsidRPr="00196044" w:rsidRDefault="000F16C4" w:rsidP="000972AF">
            <w:pPr>
              <w:keepNext/>
              <w:spacing w:after="0"/>
              <w:rPr>
                <w:szCs w:val="24"/>
                <w:lang w:val="en-US"/>
              </w:rPr>
            </w:pPr>
            <w:r>
              <w:rPr>
                <w:szCs w:val="24"/>
                <w:lang w:val="en-US"/>
              </w:rPr>
              <w:t>7.4</w:t>
            </w:r>
          </w:p>
        </w:tc>
        <w:tc>
          <w:tcPr>
            <w:tcW w:w="992" w:type="dxa"/>
          </w:tcPr>
          <w:p w14:paraId="3E44E02D" w14:textId="77777777" w:rsidR="000F16C4" w:rsidRPr="00196044" w:rsidRDefault="000F16C4" w:rsidP="000972AF">
            <w:pPr>
              <w:keepNext/>
              <w:spacing w:after="0"/>
              <w:rPr>
                <w:szCs w:val="24"/>
                <w:lang w:val="en-US"/>
              </w:rPr>
            </w:pPr>
            <w:r>
              <w:rPr>
                <w:szCs w:val="24"/>
                <w:lang w:val="en-US"/>
              </w:rPr>
              <w:t>1.4</w:t>
            </w:r>
          </w:p>
        </w:tc>
        <w:tc>
          <w:tcPr>
            <w:tcW w:w="1417" w:type="dxa"/>
          </w:tcPr>
          <w:p w14:paraId="7358F423" w14:textId="77777777" w:rsidR="000F16C4" w:rsidRPr="00196044" w:rsidRDefault="000F16C4" w:rsidP="000972AF">
            <w:pPr>
              <w:keepNext/>
              <w:spacing w:after="0"/>
              <w:rPr>
                <w:szCs w:val="24"/>
                <w:lang w:val="en-US"/>
              </w:rPr>
            </w:pPr>
            <w:r>
              <w:rPr>
                <w:szCs w:val="24"/>
                <w:lang w:val="en-US"/>
              </w:rPr>
              <w:t>5.0</w:t>
            </w:r>
          </w:p>
        </w:tc>
      </w:tr>
      <w:tr w:rsidR="000F16C4" w:rsidRPr="00196044" w14:paraId="3E1D7FE7" w14:textId="77777777" w:rsidTr="000972AF">
        <w:tc>
          <w:tcPr>
            <w:tcW w:w="4536" w:type="dxa"/>
          </w:tcPr>
          <w:p w14:paraId="6EE08477" w14:textId="77777777" w:rsidR="000F16C4" w:rsidRPr="00196044" w:rsidRDefault="000F16C4" w:rsidP="000972AF">
            <w:pPr>
              <w:keepNext/>
              <w:spacing w:after="0"/>
              <w:rPr>
                <w:szCs w:val="24"/>
                <w:lang w:val="en-US"/>
              </w:rPr>
            </w:pPr>
            <w:r w:rsidRPr="00196044">
              <w:rPr>
                <w:szCs w:val="24"/>
                <w:lang w:val="en-US"/>
              </w:rPr>
              <w:t>High-tech/medium high-tech manufacturing</w:t>
            </w:r>
          </w:p>
        </w:tc>
        <w:tc>
          <w:tcPr>
            <w:tcW w:w="993" w:type="dxa"/>
          </w:tcPr>
          <w:p w14:paraId="3646A997" w14:textId="77777777" w:rsidR="000F16C4" w:rsidRPr="00196044" w:rsidRDefault="000F16C4" w:rsidP="000972AF">
            <w:pPr>
              <w:keepNext/>
              <w:spacing w:after="0"/>
              <w:rPr>
                <w:szCs w:val="24"/>
                <w:lang w:val="en-US"/>
              </w:rPr>
            </w:pPr>
            <w:r>
              <w:rPr>
                <w:szCs w:val="24"/>
                <w:lang w:val="en-US"/>
              </w:rPr>
              <w:t>8.6</w:t>
            </w:r>
          </w:p>
        </w:tc>
        <w:tc>
          <w:tcPr>
            <w:tcW w:w="1134" w:type="dxa"/>
          </w:tcPr>
          <w:p w14:paraId="4FE4D01C" w14:textId="77777777" w:rsidR="000F16C4" w:rsidRPr="00196044" w:rsidRDefault="000F16C4" w:rsidP="000972AF">
            <w:pPr>
              <w:keepNext/>
              <w:spacing w:after="0"/>
              <w:rPr>
                <w:szCs w:val="24"/>
                <w:lang w:val="en-US"/>
              </w:rPr>
            </w:pPr>
            <w:r>
              <w:rPr>
                <w:szCs w:val="24"/>
                <w:lang w:val="en-US"/>
              </w:rPr>
              <w:t>11.0</w:t>
            </w:r>
          </w:p>
        </w:tc>
        <w:tc>
          <w:tcPr>
            <w:tcW w:w="992" w:type="dxa"/>
          </w:tcPr>
          <w:p w14:paraId="18109C3D" w14:textId="77777777" w:rsidR="000F16C4" w:rsidRPr="00196044" w:rsidRDefault="000F16C4" w:rsidP="000972AF">
            <w:pPr>
              <w:keepNext/>
              <w:spacing w:after="0"/>
              <w:rPr>
                <w:szCs w:val="24"/>
                <w:lang w:val="en-US"/>
              </w:rPr>
            </w:pPr>
            <w:r>
              <w:rPr>
                <w:szCs w:val="24"/>
                <w:lang w:val="en-US"/>
              </w:rPr>
              <w:t>17.6</w:t>
            </w:r>
          </w:p>
        </w:tc>
        <w:tc>
          <w:tcPr>
            <w:tcW w:w="1417" w:type="dxa"/>
          </w:tcPr>
          <w:p w14:paraId="5046905F" w14:textId="77777777" w:rsidR="000F16C4" w:rsidRPr="00196044" w:rsidRDefault="000F16C4" w:rsidP="000972AF">
            <w:pPr>
              <w:keepNext/>
              <w:spacing w:after="0"/>
              <w:rPr>
                <w:szCs w:val="24"/>
                <w:lang w:val="en-US"/>
              </w:rPr>
            </w:pPr>
            <w:r>
              <w:rPr>
                <w:szCs w:val="24"/>
                <w:lang w:val="en-US"/>
              </w:rPr>
              <w:t>10.9</w:t>
            </w:r>
          </w:p>
        </w:tc>
      </w:tr>
      <w:tr w:rsidR="000F16C4" w:rsidRPr="00196044" w14:paraId="77411BB4" w14:textId="77777777" w:rsidTr="000972AF">
        <w:tc>
          <w:tcPr>
            <w:tcW w:w="4536" w:type="dxa"/>
          </w:tcPr>
          <w:p w14:paraId="0CC09045" w14:textId="77777777" w:rsidR="000F16C4" w:rsidRPr="00196044" w:rsidRDefault="000F16C4" w:rsidP="000972AF">
            <w:pPr>
              <w:keepNext/>
              <w:spacing w:after="0"/>
              <w:rPr>
                <w:szCs w:val="24"/>
                <w:lang w:val="en-US"/>
              </w:rPr>
            </w:pPr>
            <w:r w:rsidRPr="00196044">
              <w:rPr>
                <w:szCs w:val="24"/>
                <w:lang w:val="en-US"/>
              </w:rPr>
              <w:t>Low-tech/medium low-tech manufacturing</w:t>
            </w:r>
          </w:p>
        </w:tc>
        <w:tc>
          <w:tcPr>
            <w:tcW w:w="993" w:type="dxa"/>
          </w:tcPr>
          <w:p w14:paraId="526B6841" w14:textId="77777777" w:rsidR="000F16C4" w:rsidRPr="00196044" w:rsidRDefault="000F16C4" w:rsidP="000972AF">
            <w:pPr>
              <w:keepNext/>
              <w:spacing w:after="0"/>
              <w:rPr>
                <w:szCs w:val="24"/>
                <w:lang w:val="en-US"/>
              </w:rPr>
            </w:pPr>
            <w:r>
              <w:rPr>
                <w:szCs w:val="24"/>
                <w:lang w:val="en-US"/>
              </w:rPr>
              <w:t>11.2</w:t>
            </w:r>
          </w:p>
        </w:tc>
        <w:tc>
          <w:tcPr>
            <w:tcW w:w="1134" w:type="dxa"/>
          </w:tcPr>
          <w:p w14:paraId="7D8B607F" w14:textId="77777777" w:rsidR="000F16C4" w:rsidRPr="00196044" w:rsidRDefault="000F16C4" w:rsidP="000972AF">
            <w:pPr>
              <w:keepNext/>
              <w:spacing w:after="0"/>
              <w:rPr>
                <w:szCs w:val="24"/>
                <w:lang w:val="en-US"/>
              </w:rPr>
            </w:pPr>
            <w:r>
              <w:rPr>
                <w:szCs w:val="24"/>
                <w:lang w:val="en-US"/>
              </w:rPr>
              <w:t>28.6</w:t>
            </w:r>
          </w:p>
        </w:tc>
        <w:tc>
          <w:tcPr>
            <w:tcW w:w="992" w:type="dxa"/>
          </w:tcPr>
          <w:p w14:paraId="6701F500" w14:textId="77777777" w:rsidR="000F16C4" w:rsidRPr="00196044" w:rsidRDefault="000F16C4" w:rsidP="000972AF">
            <w:pPr>
              <w:keepNext/>
              <w:spacing w:after="0"/>
              <w:rPr>
                <w:szCs w:val="24"/>
                <w:lang w:val="en-US"/>
              </w:rPr>
            </w:pPr>
            <w:r>
              <w:rPr>
                <w:szCs w:val="24"/>
                <w:lang w:val="en-US"/>
              </w:rPr>
              <w:t>37.7</w:t>
            </w:r>
          </w:p>
        </w:tc>
        <w:tc>
          <w:tcPr>
            <w:tcW w:w="1417" w:type="dxa"/>
          </w:tcPr>
          <w:p w14:paraId="5120ED6C" w14:textId="77777777" w:rsidR="000F16C4" w:rsidRPr="00196044" w:rsidRDefault="000F16C4" w:rsidP="000972AF">
            <w:pPr>
              <w:keepNext/>
              <w:spacing w:after="0"/>
              <w:rPr>
                <w:szCs w:val="24"/>
                <w:lang w:val="en-US"/>
              </w:rPr>
            </w:pPr>
            <w:r>
              <w:rPr>
                <w:szCs w:val="24"/>
                <w:lang w:val="en-US"/>
              </w:rPr>
              <w:t>42.3</w:t>
            </w:r>
          </w:p>
        </w:tc>
      </w:tr>
      <w:tr w:rsidR="000F16C4" w:rsidRPr="00196044" w14:paraId="3D7DB64A" w14:textId="77777777" w:rsidTr="000972AF">
        <w:tc>
          <w:tcPr>
            <w:tcW w:w="4536" w:type="dxa"/>
          </w:tcPr>
          <w:p w14:paraId="17D0AF92" w14:textId="77777777" w:rsidR="000F16C4" w:rsidRPr="00196044" w:rsidRDefault="000F16C4" w:rsidP="000972AF">
            <w:pPr>
              <w:keepNext/>
              <w:spacing w:after="0"/>
              <w:rPr>
                <w:szCs w:val="24"/>
                <w:lang w:val="en-US"/>
              </w:rPr>
            </w:pPr>
            <w:r w:rsidRPr="00196044">
              <w:rPr>
                <w:szCs w:val="24"/>
                <w:lang w:val="en-US"/>
              </w:rPr>
              <w:t>El., gas and water supply</w:t>
            </w:r>
          </w:p>
        </w:tc>
        <w:tc>
          <w:tcPr>
            <w:tcW w:w="993" w:type="dxa"/>
          </w:tcPr>
          <w:p w14:paraId="3BEC2C29" w14:textId="77777777" w:rsidR="000F16C4" w:rsidRPr="00196044" w:rsidRDefault="000F16C4" w:rsidP="000972AF">
            <w:pPr>
              <w:keepNext/>
              <w:spacing w:after="0"/>
              <w:rPr>
                <w:szCs w:val="24"/>
                <w:lang w:val="en-US"/>
              </w:rPr>
            </w:pPr>
            <w:r>
              <w:rPr>
                <w:szCs w:val="24"/>
                <w:lang w:val="en-US"/>
              </w:rPr>
              <w:t>1.9</w:t>
            </w:r>
          </w:p>
        </w:tc>
        <w:tc>
          <w:tcPr>
            <w:tcW w:w="1134" w:type="dxa"/>
          </w:tcPr>
          <w:p w14:paraId="6E66FC9B" w14:textId="77777777" w:rsidR="000F16C4" w:rsidRPr="00196044" w:rsidRDefault="000F16C4" w:rsidP="000972AF">
            <w:pPr>
              <w:keepNext/>
              <w:spacing w:after="0"/>
              <w:rPr>
                <w:szCs w:val="24"/>
                <w:lang w:val="en-US"/>
              </w:rPr>
            </w:pPr>
            <w:r>
              <w:rPr>
                <w:szCs w:val="24"/>
                <w:lang w:val="en-US"/>
              </w:rPr>
              <w:t>3.9</w:t>
            </w:r>
          </w:p>
        </w:tc>
        <w:tc>
          <w:tcPr>
            <w:tcW w:w="992" w:type="dxa"/>
          </w:tcPr>
          <w:p w14:paraId="7FF5ACBB" w14:textId="77777777" w:rsidR="000F16C4" w:rsidRPr="00196044" w:rsidRDefault="000F16C4" w:rsidP="000972AF">
            <w:pPr>
              <w:keepNext/>
              <w:spacing w:after="0"/>
              <w:rPr>
                <w:szCs w:val="24"/>
                <w:lang w:val="en-US"/>
              </w:rPr>
            </w:pPr>
            <w:r>
              <w:rPr>
                <w:szCs w:val="24"/>
                <w:lang w:val="en-US"/>
              </w:rPr>
              <w:t>4.9</w:t>
            </w:r>
          </w:p>
        </w:tc>
        <w:tc>
          <w:tcPr>
            <w:tcW w:w="1417" w:type="dxa"/>
          </w:tcPr>
          <w:p w14:paraId="0EF08DD4" w14:textId="77777777" w:rsidR="000F16C4" w:rsidRPr="00196044" w:rsidRDefault="000F16C4" w:rsidP="000972AF">
            <w:pPr>
              <w:keepNext/>
              <w:spacing w:after="0"/>
              <w:rPr>
                <w:szCs w:val="24"/>
                <w:lang w:val="en-US"/>
              </w:rPr>
            </w:pPr>
            <w:r>
              <w:rPr>
                <w:szCs w:val="24"/>
                <w:lang w:val="en-US"/>
              </w:rPr>
              <w:t>6.4</w:t>
            </w:r>
          </w:p>
        </w:tc>
      </w:tr>
      <w:tr w:rsidR="000F16C4" w:rsidRPr="00196044" w14:paraId="30F5C770" w14:textId="77777777" w:rsidTr="000972AF">
        <w:tc>
          <w:tcPr>
            <w:tcW w:w="4536" w:type="dxa"/>
          </w:tcPr>
          <w:p w14:paraId="1AC6F82C" w14:textId="77777777" w:rsidR="000F16C4" w:rsidRPr="00196044" w:rsidRDefault="000F16C4" w:rsidP="000972AF">
            <w:pPr>
              <w:keepNext/>
              <w:spacing w:after="0"/>
              <w:rPr>
                <w:szCs w:val="24"/>
                <w:lang w:val="en-US"/>
              </w:rPr>
            </w:pPr>
            <w:r w:rsidRPr="00196044">
              <w:rPr>
                <w:szCs w:val="24"/>
                <w:lang w:val="en-US"/>
              </w:rPr>
              <w:t>Construction</w:t>
            </w:r>
          </w:p>
        </w:tc>
        <w:tc>
          <w:tcPr>
            <w:tcW w:w="993" w:type="dxa"/>
          </w:tcPr>
          <w:p w14:paraId="5E2B67CE" w14:textId="77777777" w:rsidR="000F16C4" w:rsidRPr="00196044" w:rsidRDefault="000F16C4" w:rsidP="000972AF">
            <w:pPr>
              <w:keepNext/>
              <w:spacing w:after="0"/>
              <w:rPr>
                <w:szCs w:val="24"/>
                <w:lang w:val="en-US"/>
              </w:rPr>
            </w:pPr>
            <w:r>
              <w:rPr>
                <w:szCs w:val="24"/>
                <w:lang w:val="en-US"/>
              </w:rPr>
              <w:t>6.5</w:t>
            </w:r>
          </w:p>
        </w:tc>
        <w:tc>
          <w:tcPr>
            <w:tcW w:w="1134" w:type="dxa"/>
          </w:tcPr>
          <w:p w14:paraId="423A300A" w14:textId="77777777" w:rsidR="000F16C4" w:rsidRPr="00196044" w:rsidRDefault="000F16C4" w:rsidP="000972AF">
            <w:pPr>
              <w:keepNext/>
              <w:spacing w:after="0"/>
              <w:rPr>
                <w:szCs w:val="24"/>
                <w:lang w:val="en-US"/>
              </w:rPr>
            </w:pPr>
            <w:r>
              <w:rPr>
                <w:szCs w:val="24"/>
                <w:lang w:val="en-US"/>
              </w:rPr>
              <w:t>7.1</w:t>
            </w:r>
          </w:p>
        </w:tc>
        <w:tc>
          <w:tcPr>
            <w:tcW w:w="992" w:type="dxa"/>
          </w:tcPr>
          <w:p w14:paraId="4D51C02E" w14:textId="77777777" w:rsidR="000F16C4" w:rsidRPr="00196044" w:rsidRDefault="000F16C4" w:rsidP="000972AF">
            <w:pPr>
              <w:keepNext/>
              <w:spacing w:after="0"/>
              <w:rPr>
                <w:szCs w:val="24"/>
                <w:lang w:val="en-US"/>
              </w:rPr>
            </w:pPr>
            <w:r>
              <w:rPr>
                <w:szCs w:val="24"/>
                <w:lang w:val="en-US"/>
              </w:rPr>
              <w:t>7.7</w:t>
            </w:r>
          </w:p>
        </w:tc>
        <w:tc>
          <w:tcPr>
            <w:tcW w:w="1417" w:type="dxa"/>
          </w:tcPr>
          <w:p w14:paraId="544688AA" w14:textId="77777777" w:rsidR="000F16C4" w:rsidRPr="00196044" w:rsidRDefault="000F16C4" w:rsidP="000972AF">
            <w:pPr>
              <w:keepNext/>
              <w:spacing w:after="0"/>
              <w:rPr>
                <w:szCs w:val="24"/>
                <w:lang w:val="en-US"/>
              </w:rPr>
            </w:pPr>
            <w:r>
              <w:rPr>
                <w:szCs w:val="24"/>
                <w:lang w:val="en-US"/>
              </w:rPr>
              <w:t>7.4</w:t>
            </w:r>
          </w:p>
        </w:tc>
      </w:tr>
      <w:tr w:rsidR="000F16C4" w:rsidRPr="00196044" w14:paraId="758A4297" w14:textId="77777777" w:rsidTr="000972AF">
        <w:tc>
          <w:tcPr>
            <w:tcW w:w="4536" w:type="dxa"/>
          </w:tcPr>
          <w:p w14:paraId="5FF0D9D2" w14:textId="77777777" w:rsidR="000F16C4" w:rsidRPr="00196044" w:rsidRDefault="000F16C4" w:rsidP="000972AF">
            <w:pPr>
              <w:keepNext/>
              <w:spacing w:after="0"/>
              <w:rPr>
                <w:szCs w:val="24"/>
                <w:lang w:val="en-US"/>
              </w:rPr>
            </w:pPr>
            <w:r w:rsidRPr="00196044">
              <w:rPr>
                <w:szCs w:val="24"/>
                <w:lang w:val="en-US"/>
              </w:rPr>
              <w:t>Trade</w:t>
            </w:r>
          </w:p>
        </w:tc>
        <w:tc>
          <w:tcPr>
            <w:tcW w:w="993" w:type="dxa"/>
          </w:tcPr>
          <w:p w14:paraId="35E127BA" w14:textId="77777777" w:rsidR="000F16C4" w:rsidRPr="00196044" w:rsidRDefault="000F16C4" w:rsidP="000972AF">
            <w:pPr>
              <w:keepNext/>
              <w:spacing w:after="0"/>
              <w:rPr>
                <w:szCs w:val="24"/>
                <w:lang w:val="en-US"/>
              </w:rPr>
            </w:pPr>
            <w:r>
              <w:rPr>
                <w:szCs w:val="24"/>
                <w:lang w:val="en-US"/>
              </w:rPr>
              <w:t>15.3</w:t>
            </w:r>
          </w:p>
        </w:tc>
        <w:tc>
          <w:tcPr>
            <w:tcW w:w="1134" w:type="dxa"/>
          </w:tcPr>
          <w:p w14:paraId="19BDEDA1" w14:textId="77777777" w:rsidR="000F16C4" w:rsidRPr="00196044" w:rsidRDefault="000F16C4" w:rsidP="000972AF">
            <w:pPr>
              <w:keepNext/>
              <w:spacing w:after="0"/>
              <w:rPr>
                <w:szCs w:val="24"/>
                <w:lang w:val="en-US"/>
              </w:rPr>
            </w:pPr>
            <w:r>
              <w:rPr>
                <w:szCs w:val="24"/>
                <w:lang w:val="en-US"/>
              </w:rPr>
              <w:t>6.2</w:t>
            </w:r>
          </w:p>
        </w:tc>
        <w:tc>
          <w:tcPr>
            <w:tcW w:w="992" w:type="dxa"/>
          </w:tcPr>
          <w:p w14:paraId="2651F1E9" w14:textId="77777777" w:rsidR="000F16C4" w:rsidRPr="00196044" w:rsidRDefault="000F16C4" w:rsidP="000972AF">
            <w:pPr>
              <w:keepNext/>
              <w:spacing w:after="0"/>
              <w:rPr>
                <w:szCs w:val="24"/>
                <w:lang w:val="en-US"/>
              </w:rPr>
            </w:pPr>
            <w:r>
              <w:rPr>
                <w:szCs w:val="24"/>
                <w:lang w:val="en-US"/>
              </w:rPr>
              <w:t>6.1</w:t>
            </w:r>
          </w:p>
        </w:tc>
        <w:tc>
          <w:tcPr>
            <w:tcW w:w="1417" w:type="dxa"/>
          </w:tcPr>
          <w:p w14:paraId="30BA48DE" w14:textId="77777777" w:rsidR="000F16C4" w:rsidRPr="00196044" w:rsidRDefault="000F16C4" w:rsidP="000972AF">
            <w:pPr>
              <w:keepNext/>
              <w:spacing w:after="0"/>
              <w:rPr>
                <w:szCs w:val="24"/>
                <w:lang w:val="en-US"/>
              </w:rPr>
            </w:pPr>
            <w:r>
              <w:rPr>
                <w:szCs w:val="24"/>
                <w:lang w:val="en-US"/>
              </w:rPr>
              <w:t>2.2</w:t>
            </w:r>
          </w:p>
        </w:tc>
      </w:tr>
      <w:tr w:rsidR="000F16C4" w:rsidRPr="00196044" w14:paraId="47980108" w14:textId="77777777" w:rsidTr="000972AF">
        <w:tc>
          <w:tcPr>
            <w:tcW w:w="4536" w:type="dxa"/>
          </w:tcPr>
          <w:p w14:paraId="542981CE" w14:textId="77777777" w:rsidR="000F16C4" w:rsidRPr="00196044" w:rsidRDefault="000F16C4" w:rsidP="000972AF">
            <w:pPr>
              <w:keepNext/>
              <w:spacing w:after="0"/>
              <w:rPr>
                <w:szCs w:val="24"/>
                <w:lang w:val="en-US"/>
              </w:rPr>
            </w:pPr>
            <w:r w:rsidRPr="00196044">
              <w:rPr>
                <w:szCs w:val="24"/>
                <w:lang w:val="en-US"/>
              </w:rPr>
              <w:t>Transport and storage</w:t>
            </w:r>
          </w:p>
        </w:tc>
        <w:tc>
          <w:tcPr>
            <w:tcW w:w="993" w:type="dxa"/>
          </w:tcPr>
          <w:p w14:paraId="5765ABDA" w14:textId="77777777" w:rsidR="000F16C4" w:rsidRPr="00196044" w:rsidRDefault="000F16C4" w:rsidP="000972AF">
            <w:pPr>
              <w:keepNext/>
              <w:spacing w:after="0"/>
              <w:rPr>
                <w:szCs w:val="24"/>
                <w:lang w:val="en-US"/>
              </w:rPr>
            </w:pPr>
            <w:r>
              <w:rPr>
                <w:szCs w:val="24"/>
                <w:lang w:val="en-US"/>
              </w:rPr>
              <w:t>7.2</w:t>
            </w:r>
          </w:p>
        </w:tc>
        <w:tc>
          <w:tcPr>
            <w:tcW w:w="1134" w:type="dxa"/>
          </w:tcPr>
          <w:p w14:paraId="727EB93C" w14:textId="77777777" w:rsidR="000F16C4" w:rsidRPr="00196044" w:rsidRDefault="000F16C4" w:rsidP="000972AF">
            <w:pPr>
              <w:keepNext/>
              <w:spacing w:after="0"/>
              <w:rPr>
                <w:szCs w:val="24"/>
                <w:lang w:val="en-US"/>
              </w:rPr>
            </w:pPr>
            <w:r>
              <w:rPr>
                <w:szCs w:val="24"/>
                <w:lang w:val="en-US"/>
              </w:rPr>
              <w:t>7.2</w:t>
            </w:r>
          </w:p>
        </w:tc>
        <w:tc>
          <w:tcPr>
            <w:tcW w:w="992" w:type="dxa"/>
          </w:tcPr>
          <w:p w14:paraId="02953A59" w14:textId="77777777" w:rsidR="000F16C4" w:rsidRPr="00196044" w:rsidRDefault="000F16C4" w:rsidP="000972AF">
            <w:pPr>
              <w:keepNext/>
              <w:spacing w:after="0"/>
              <w:rPr>
                <w:szCs w:val="24"/>
                <w:lang w:val="en-US"/>
              </w:rPr>
            </w:pPr>
            <w:r>
              <w:rPr>
                <w:szCs w:val="24"/>
                <w:lang w:val="en-US"/>
              </w:rPr>
              <w:t>6.3</w:t>
            </w:r>
          </w:p>
        </w:tc>
        <w:tc>
          <w:tcPr>
            <w:tcW w:w="1417" w:type="dxa"/>
          </w:tcPr>
          <w:p w14:paraId="31EC0C13" w14:textId="77777777" w:rsidR="000F16C4" w:rsidRPr="00196044" w:rsidRDefault="000F16C4" w:rsidP="000972AF">
            <w:pPr>
              <w:keepNext/>
              <w:spacing w:after="0"/>
              <w:rPr>
                <w:szCs w:val="24"/>
                <w:lang w:val="en-US"/>
              </w:rPr>
            </w:pPr>
            <w:r>
              <w:rPr>
                <w:szCs w:val="24"/>
                <w:lang w:val="en-US"/>
              </w:rPr>
              <w:t>6.8</w:t>
            </w:r>
          </w:p>
        </w:tc>
      </w:tr>
      <w:tr w:rsidR="000F16C4" w:rsidRPr="00196044" w14:paraId="1D2C98C3" w14:textId="77777777" w:rsidTr="000972AF">
        <w:tc>
          <w:tcPr>
            <w:tcW w:w="4536" w:type="dxa"/>
          </w:tcPr>
          <w:p w14:paraId="2D6C6F5E" w14:textId="77777777" w:rsidR="000F16C4" w:rsidRPr="00196044" w:rsidRDefault="000F16C4" w:rsidP="000972AF">
            <w:pPr>
              <w:keepNext/>
              <w:spacing w:after="0"/>
              <w:rPr>
                <w:szCs w:val="24"/>
                <w:lang w:val="en-US"/>
              </w:rPr>
            </w:pPr>
            <w:r w:rsidRPr="00196044">
              <w:rPr>
                <w:szCs w:val="24"/>
                <w:lang w:val="en-US"/>
              </w:rPr>
              <w:t>Information and communications</w:t>
            </w:r>
          </w:p>
        </w:tc>
        <w:tc>
          <w:tcPr>
            <w:tcW w:w="993" w:type="dxa"/>
          </w:tcPr>
          <w:p w14:paraId="33F92C5C" w14:textId="77777777" w:rsidR="000F16C4" w:rsidRPr="00196044" w:rsidRDefault="000F16C4" w:rsidP="000972AF">
            <w:pPr>
              <w:keepNext/>
              <w:spacing w:after="0"/>
              <w:rPr>
                <w:szCs w:val="24"/>
                <w:lang w:val="en-US"/>
              </w:rPr>
            </w:pPr>
            <w:r>
              <w:rPr>
                <w:szCs w:val="24"/>
                <w:lang w:val="en-US"/>
              </w:rPr>
              <w:t>25.7</w:t>
            </w:r>
          </w:p>
        </w:tc>
        <w:tc>
          <w:tcPr>
            <w:tcW w:w="1134" w:type="dxa"/>
          </w:tcPr>
          <w:p w14:paraId="79279CA3" w14:textId="77777777" w:rsidR="000F16C4" w:rsidRPr="00196044" w:rsidRDefault="000F16C4" w:rsidP="000972AF">
            <w:pPr>
              <w:keepNext/>
              <w:spacing w:after="0"/>
              <w:rPr>
                <w:szCs w:val="24"/>
                <w:lang w:val="en-US"/>
              </w:rPr>
            </w:pPr>
            <w:r>
              <w:rPr>
                <w:szCs w:val="24"/>
                <w:lang w:val="en-US"/>
              </w:rPr>
              <w:t>11.8</w:t>
            </w:r>
          </w:p>
        </w:tc>
        <w:tc>
          <w:tcPr>
            <w:tcW w:w="992" w:type="dxa"/>
          </w:tcPr>
          <w:p w14:paraId="7FB10389" w14:textId="77777777" w:rsidR="000F16C4" w:rsidRPr="00196044" w:rsidRDefault="000F16C4" w:rsidP="000972AF">
            <w:pPr>
              <w:keepNext/>
              <w:spacing w:after="0"/>
              <w:rPr>
                <w:szCs w:val="24"/>
                <w:lang w:val="en-US"/>
              </w:rPr>
            </w:pPr>
            <w:r>
              <w:rPr>
                <w:szCs w:val="24"/>
                <w:lang w:val="en-US"/>
              </w:rPr>
              <w:t>8.0</w:t>
            </w:r>
          </w:p>
        </w:tc>
        <w:tc>
          <w:tcPr>
            <w:tcW w:w="1417" w:type="dxa"/>
          </w:tcPr>
          <w:p w14:paraId="44E19562" w14:textId="77777777" w:rsidR="000F16C4" w:rsidRPr="00196044" w:rsidRDefault="000F16C4" w:rsidP="000972AF">
            <w:pPr>
              <w:keepNext/>
              <w:spacing w:after="0"/>
              <w:rPr>
                <w:szCs w:val="24"/>
                <w:lang w:val="en-US"/>
              </w:rPr>
            </w:pPr>
            <w:r>
              <w:rPr>
                <w:szCs w:val="24"/>
                <w:lang w:val="en-US"/>
              </w:rPr>
              <w:t>6.7</w:t>
            </w:r>
          </w:p>
        </w:tc>
      </w:tr>
      <w:tr w:rsidR="000F16C4" w:rsidRPr="00196044" w14:paraId="713F58FA" w14:textId="77777777" w:rsidTr="000972AF">
        <w:tc>
          <w:tcPr>
            <w:tcW w:w="4536" w:type="dxa"/>
          </w:tcPr>
          <w:p w14:paraId="52ED213E" w14:textId="77777777" w:rsidR="000F16C4" w:rsidRPr="00196044" w:rsidRDefault="000F16C4" w:rsidP="000972AF">
            <w:pPr>
              <w:keepNext/>
              <w:spacing w:after="0"/>
              <w:rPr>
                <w:szCs w:val="24"/>
                <w:lang w:val="en-US"/>
              </w:rPr>
            </w:pPr>
            <w:r w:rsidRPr="00196044">
              <w:rPr>
                <w:szCs w:val="24"/>
                <w:lang w:val="en-US"/>
              </w:rPr>
              <w:t>Financial services</w:t>
            </w:r>
          </w:p>
        </w:tc>
        <w:tc>
          <w:tcPr>
            <w:tcW w:w="993" w:type="dxa"/>
          </w:tcPr>
          <w:p w14:paraId="6E212E66" w14:textId="77777777" w:rsidR="000F16C4" w:rsidRPr="00196044" w:rsidRDefault="000F16C4" w:rsidP="000972AF">
            <w:pPr>
              <w:keepNext/>
              <w:spacing w:after="0"/>
              <w:rPr>
                <w:szCs w:val="24"/>
                <w:lang w:val="en-US"/>
              </w:rPr>
            </w:pPr>
            <w:r>
              <w:rPr>
                <w:szCs w:val="24"/>
                <w:lang w:val="en-US"/>
              </w:rPr>
              <w:t>8.5</w:t>
            </w:r>
          </w:p>
        </w:tc>
        <w:tc>
          <w:tcPr>
            <w:tcW w:w="1134" w:type="dxa"/>
          </w:tcPr>
          <w:p w14:paraId="09FDE7F5" w14:textId="77777777" w:rsidR="000F16C4" w:rsidRPr="00196044" w:rsidRDefault="000F16C4" w:rsidP="000972AF">
            <w:pPr>
              <w:keepNext/>
              <w:spacing w:after="0"/>
              <w:rPr>
                <w:szCs w:val="24"/>
                <w:lang w:val="en-US"/>
              </w:rPr>
            </w:pPr>
            <w:r>
              <w:rPr>
                <w:szCs w:val="24"/>
                <w:lang w:val="en-US"/>
              </w:rPr>
              <w:t>4.2</w:t>
            </w:r>
          </w:p>
        </w:tc>
        <w:tc>
          <w:tcPr>
            <w:tcW w:w="992" w:type="dxa"/>
          </w:tcPr>
          <w:p w14:paraId="6CB860DE" w14:textId="77777777" w:rsidR="000F16C4" w:rsidRPr="00196044" w:rsidRDefault="000F16C4" w:rsidP="000972AF">
            <w:pPr>
              <w:keepNext/>
              <w:spacing w:after="0"/>
              <w:rPr>
                <w:szCs w:val="24"/>
                <w:lang w:val="en-US"/>
              </w:rPr>
            </w:pPr>
            <w:r>
              <w:rPr>
                <w:szCs w:val="24"/>
                <w:lang w:val="en-US"/>
              </w:rPr>
              <w:t>3.3</w:t>
            </w:r>
          </w:p>
        </w:tc>
        <w:tc>
          <w:tcPr>
            <w:tcW w:w="1417" w:type="dxa"/>
          </w:tcPr>
          <w:p w14:paraId="78690DB2" w14:textId="77777777" w:rsidR="000F16C4" w:rsidRPr="00196044" w:rsidRDefault="000F16C4" w:rsidP="000972AF">
            <w:pPr>
              <w:keepNext/>
              <w:spacing w:after="0"/>
              <w:rPr>
                <w:szCs w:val="24"/>
                <w:lang w:val="en-US"/>
              </w:rPr>
            </w:pPr>
            <w:r>
              <w:rPr>
                <w:szCs w:val="24"/>
                <w:lang w:val="en-US"/>
              </w:rPr>
              <w:t>4.3</w:t>
            </w:r>
          </w:p>
        </w:tc>
      </w:tr>
      <w:tr w:rsidR="000F16C4" w:rsidRPr="00196044" w14:paraId="2F345AA3" w14:textId="77777777" w:rsidTr="000972AF">
        <w:tc>
          <w:tcPr>
            <w:tcW w:w="4536" w:type="dxa"/>
          </w:tcPr>
          <w:p w14:paraId="26455DA4" w14:textId="77777777" w:rsidR="000F16C4" w:rsidRPr="00196044" w:rsidRDefault="000F16C4" w:rsidP="000972AF">
            <w:pPr>
              <w:keepNext/>
              <w:spacing w:after="0"/>
              <w:rPr>
                <w:szCs w:val="24"/>
                <w:lang w:val="en-US"/>
              </w:rPr>
            </w:pPr>
            <w:r w:rsidRPr="00196044">
              <w:rPr>
                <w:szCs w:val="24"/>
                <w:lang w:val="en-US"/>
              </w:rPr>
              <w:t>Other services</w:t>
            </w:r>
          </w:p>
        </w:tc>
        <w:tc>
          <w:tcPr>
            <w:tcW w:w="993" w:type="dxa"/>
          </w:tcPr>
          <w:p w14:paraId="4E2628EE" w14:textId="77777777" w:rsidR="000F16C4" w:rsidRPr="00196044" w:rsidRDefault="000F16C4" w:rsidP="000972AF">
            <w:pPr>
              <w:keepNext/>
              <w:spacing w:after="0"/>
              <w:rPr>
                <w:szCs w:val="24"/>
                <w:lang w:val="en-US"/>
              </w:rPr>
            </w:pPr>
            <w:r>
              <w:rPr>
                <w:szCs w:val="24"/>
                <w:lang w:val="en-US"/>
              </w:rPr>
              <w:t>13.2</w:t>
            </w:r>
          </w:p>
        </w:tc>
        <w:tc>
          <w:tcPr>
            <w:tcW w:w="1134" w:type="dxa"/>
          </w:tcPr>
          <w:p w14:paraId="28FD0FD3" w14:textId="77777777" w:rsidR="000F16C4" w:rsidRPr="00196044" w:rsidRDefault="000F16C4" w:rsidP="000972AF">
            <w:pPr>
              <w:keepNext/>
              <w:spacing w:after="0"/>
              <w:rPr>
                <w:szCs w:val="24"/>
                <w:lang w:val="en-US"/>
              </w:rPr>
            </w:pPr>
            <w:r>
              <w:rPr>
                <w:szCs w:val="24"/>
                <w:lang w:val="en-US"/>
              </w:rPr>
              <w:t>11.4</w:t>
            </w:r>
          </w:p>
        </w:tc>
        <w:tc>
          <w:tcPr>
            <w:tcW w:w="992" w:type="dxa"/>
          </w:tcPr>
          <w:p w14:paraId="0F54D192" w14:textId="77777777" w:rsidR="000F16C4" w:rsidRPr="00196044" w:rsidRDefault="000F16C4" w:rsidP="000972AF">
            <w:pPr>
              <w:keepNext/>
              <w:spacing w:after="0"/>
              <w:rPr>
                <w:szCs w:val="24"/>
                <w:lang w:val="en-US"/>
              </w:rPr>
            </w:pPr>
            <w:r>
              <w:rPr>
                <w:szCs w:val="24"/>
                <w:lang w:val="en-US"/>
              </w:rPr>
              <w:t>6.5</w:t>
            </w:r>
          </w:p>
        </w:tc>
        <w:tc>
          <w:tcPr>
            <w:tcW w:w="1417" w:type="dxa"/>
          </w:tcPr>
          <w:p w14:paraId="43F87F31" w14:textId="77777777" w:rsidR="000F16C4" w:rsidRPr="00196044" w:rsidRDefault="000F16C4" w:rsidP="000972AF">
            <w:pPr>
              <w:keepNext/>
              <w:spacing w:after="0"/>
              <w:rPr>
                <w:szCs w:val="24"/>
                <w:lang w:val="en-US"/>
              </w:rPr>
            </w:pPr>
            <w:r>
              <w:rPr>
                <w:szCs w:val="24"/>
                <w:lang w:val="en-US"/>
              </w:rPr>
              <w:t>4.1</w:t>
            </w:r>
          </w:p>
        </w:tc>
      </w:tr>
      <w:tr w:rsidR="000F16C4" w:rsidRPr="00196044" w14:paraId="6C64989E" w14:textId="77777777" w:rsidTr="000972AF">
        <w:tc>
          <w:tcPr>
            <w:tcW w:w="4536" w:type="dxa"/>
          </w:tcPr>
          <w:p w14:paraId="0685DEE8" w14:textId="77777777" w:rsidR="000F16C4" w:rsidRPr="00196044" w:rsidRDefault="000F16C4" w:rsidP="000972AF">
            <w:pPr>
              <w:keepNext/>
              <w:spacing w:after="0"/>
              <w:rPr>
                <w:szCs w:val="24"/>
                <w:lang w:val="en-US"/>
              </w:rPr>
            </w:pPr>
          </w:p>
        </w:tc>
        <w:tc>
          <w:tcPr>
            <w:tcW w:w="993" w:type="dxa"/>
          </w:tcPr>
          <w:p w14:paraId="58C52CE4" w14:textId="77777777" w:rsidR="000F16C4" w:rsidRPr="00196044" w:rsidRDefault="000F16C4" w:rsidP="000972AF">
            <w:pPr>
              <w:keepNext/>
              <w:spacing w:after="0"/>
              <w:rPr>
                <w:szCs w:val="24"/>
                <w:lang w:val="en-US"/>
              </w:rPr>
            </w:pPr>
          </w:p>
        </w:tc>
        <w:tc>
          <w:tcPr>
            <w:tcW w:w="1134" w:type="dxa"/>
          </w:tcPr>
          <w:p w14:paraId="1F581307" w14:textId="77777777" w:rsidR="000F16C4" w:rsidRPr="00196044" w:rsidRDefault="000F16C4" w:rsidP="000972AF">
            <w:pPr>
              <w:keepNext/>
              <w:spacing w:after="0"/>
              <w:rPr>
                <w:szCs w:val="24"/>
                <w:lang w:val="en-US"/>
              </w:rPr>
            </w:pPr>
          </w:p>
        </w:tc>
        <w:tc>
          <w:tcPr>
            <w:tcW w:w="992" w:type="dxa"/>
          </w:tcPr>
          <w:p w14:paraId="10DEB21C" w14:textId="77777777" w:rsidR="000F16C4" w:rsidRPr="00196044" w:rsidRDefault="000F16C4" w:rsidP="000972AF">
            <w:pPr>
              <w:keepNext/>
              <w:spacing w:after="0"/>
              <w:rPr>
                <w:szCs w:val="24"/>
                <w:lang w:val="en-US"/>
              </w:rPr>
            </w:pPr>
          </w:p>
        </w:tc>
        <w:tc>
          <w:tcPr>
            <w:tcW w:w="1417" w:type="dxa"/>
          </w:tcPr>
          <w:p w14:paraId="4A63A959" w14:textId="77777777" w:rsidR="000F16C4" w:rsidRPr="00196044" w:rsidRDefault="000F16C4" w:rsidP="000972AF">
            <w:pPr>
              <w:keepNext/>
              <w:spacing w:after="0"/>
              <w:rPr>
                <w:szCs w:val="24"/>
                <w:lang w:val="en-US"/>
              </w:rPr>
            </w:pPr>
          </w:p>
        </w:tc>
      </w:tr>
      <w:tr w:rsidR="000F16C4" w:rsidRPr="00196044" w14:paraId="286FE0A6" w14:textId="77777777" w:rsidTr="000972AF">
        <w:tc>
          <w:tcPr>
            <w:tcW w:w="4536" w:type="dxa"/>
          </w:tcPr>
          <w:p w14:paraId="6A3FC4B4" w14:textId="77777777" w:rsidR="000F16C4" w:rsidRPr="00196044" w:rsidRDefault="000F16C4" w:rsidP="000972AF">
            <w:pPr>
              <w:keepNext/>
              <w:spacing w:after="0"/>
              <w:rPr>
                <w:i/>
                <w:szCs w:val="24"/>
                <w:lang w:val="en-US"/>
              </w:rPr>
            </w:pPr>
            <w:r w:rsidRPr="00196044">
              <w:rPr>
                <w:i/>
                <w:szCs w:val="24"/>
                <w:lang w:val="en-US"/>
              </w:rPr>
              <w:t>N</w:t>
            </w:r>
          </w:p>
        </w:tc>
        <w:tc>
          <w:tcPr>
            <w:tcW w:w="993" w:type="dxa"/>
          </w:tcPr>
          <w:p w14:paraId="2B6A2F65" w14:textId="77777777" w:rsidR="000F16C4" w:rsidRPr="00196044" w:rsidRDefault="000F16C4" w:rsidP="000972AF">
            <w:pPr>
              <w:keepNext/>
              <w:spacing w:after="0"/>
              <w:rPr>
                <w:szCs w:val="24"/>
                <w:lang w:val="en-US"/>
              </w:rPr>
            </w:pPr>
            <w:r>
              <w:rPr>
                <w:szCs w:val="24"/>
                <w:lang w:val="en-US"/>
              </w:rPr>
              <w:t>1814</w:t>
            </w:r>
          </w:p>
        </w:tc>
        <w:tc>
          <w:tcPr>
            <w:tcW w:w="1134" w:type="dxa"/>
          </w:tcPr>
          <w:p w14:paraId="23A8EECA" w14:textId="77777777" w:rsidR="000F16C4" w:rsidRPr="00196044" w:rsidRDefault="000F16C4" w:rsidP="000972AF">
            <w:pPr>
              <w:keepNext/>
              <w:spacing w:after="0"/>
              <w:rPr>
                <w:szCs w:val="24"/>
                <w:lang w:val="en-US"/>
              </w:rPr>
            </w:pPr>
            <w:r>
              <w:rPr>
                <w:szCs w:val="24"/>
                <w:lang w:val="en-US"/>
              </w:rPr>
              <w:t>1261</w:t>
            </w:r>
          </w:p>
        </w:tc>
        <w:tc>
          <w:tcPr>
            <w:tcW w:w="992" w:type="dxa"/>
          </w:tcPr>
          <w:p w14:paraId="22DD7E98" w14:textId="77777777" w:rsidR="000F16C4" w:rsidRPr="00196044" w:rsidRDefault="000F16C4" w:rsidP="000972AF">
            <w:pPr>
              <w:keepNext/>
              <w:spacing w:after="0"/>
              <w:rPr>
                <w:szCs w:val="24"/>
                <w:lang w:val="en-US"/>
              </w:rPr>
            </w:pPr>
            <w:r>
              <w:rPr>
                <w:szCs w:val="24"/>
                <w:lang w:val="en-US"/>
              </w:rPr>
              <w:t>1827</w:t>
            </w:r>
          </w:p>
        </w:tc>
        <w:tc>
          <w:tcPr>
            <w:tcW w:w="1417" w:type="dxa"/>
          </w:tcPr>
          <w:p w14:paraId="264E6470" w14:textId="77777777" w:rsidR="000F16C4" w:rsidRPr="00196044" w:rsidRDefault="000F16C4" w:rsidP="000972AF">
            <w:pPr>
              <w:keepNext/>
              <w:spacing w:after="0"/>
              <w:rPr>
                <w:szCs w:val="24"/>
                <w:lang w:val="en-US"/>
              </w:rPr>
            </w:pPr>
            <w:r>
              <w:rPr>
                <w:szCs w:val="24"/>
                <w:lang w:val="en-US"/>
              </w:rPr>
              <w:t>1480</w:t>
            </w:r>
          </w:p>
        </w:tc>
      </w:tr>
    </w:tbl>
    <w:p w14:paraId="670A107A" w14:textId="2775A85C" w:rsidR="00377443" w:rsidRDefault="00377443" w:rsidP="000F16C4">
      <w:pPr>
        <w:pStyle w:val="Heading2"/>
        <w:spacing w:before="0" w:line="240" w:lineRule="auto"/>
        <w:ind w:left="284" w:hanging="284"/>
        <w:rPr>
          <w:rFonts w:ascii="Times New Roman" w:hAnsi="Times New Roman"/>
          <w:b w:val="0"/>
          <w:sz w:val="24"/>
          <w:szCs w:val="24"/>
          <w:lang w:val="en-US"/>
        </w:rPr>
      </w:pPr>
    </w:p>
    <w:p w14:paraId="67C8A185" w14:textId="77777777" w:rsidR="00377443" w:rsidRDefault="00377443">
      <w:pPr>
        <w:spacing w:after="0" w:line="240" w:lineRule="auto"/>
        <w:jc w:val="left"/>
        <w:rPr>
          <w:rFonts w:eastAsiaTheme="majorEastAsia" w:cstheme="majorBidi"/>
          <w:bCs/>
          <w:color w:val="4F81BD" w:themeColor="accent1"/>
          <w:szCs w:val="24"/>
          <w:lang w:val="en-US"/>
        </w:rPr>
      </w:pPr>
      <w:r>
        <w:rPr>
          <w:b/>
          <w:szCs w:val="24"/>
          <w:lang w:val="en-US"/>
        </w:rPr>
        <w:br w:type="page"/>
      </w:r>
    </w:p>
    <w:p w14:paraId="16E94BD4" w14:textId="77777777" w:rsidR="00377443" w:rsidRPr="003E6B6C" w:rsidRDefault="00377443" w:rsidP="00377443">
      <w:pPr>
        <w:keepNext/>
        <w:spacing w:line="240" w:lineRule="auto"/>
        <w:rPr>
          <w:b/>
        </w:rPr>
      </w:pPr>
      <w:r>
        <w:rPr>
          <w:b/>
          <w:szCs w:val="24"/>
        </w:rPr>
        <w:lastRenderedPageBreak/>
        <w:t>Appendix Table A.4</w:t>
      </w:r>
      <w:r w:rsidRPr="003E6B6C">
        <w:rPr>
          <w:b/>
          <w:szCs w:val="24"/>
        </w:rPr>
        <w:t xml:space="preserve">: Logit regression results, Model 1, </w:t>
      </w:r>
      <w:r>
        <w:rPr>
          <w:b/>
          <w:szCs w:val="24"/>
        </w:rPr>
        <w:t>excluding R&amp;D expenditure</w:t>
      </w:r>
    </w:p>
    <w:tbl>
      <w:tblPr>
        <w:tblW w:w="5454" w:type="pct"/>
        <w:jc w:val="center"/>
        <w:tblLayout w:type="fixed"/>
        <w:tblCellMar>
          <w:left w:w="75" w:type="dxa"/>
          <w:right w:w="75" w:type="dxa"/>
        </w:tblCellMar>
        <w:tblLook w:val="0000" w:firstRow="0" w:lastRow="0" w:firstColumn="0" w:lastColumn="0" w:noHBand="0" w:noVBand="0"/>
      </w:tblPr>
      <w:tblGrid>
        <w:gridCol w:w="3081"/>
        <w:gridCol w:w="1237"/>
        <w:gridCol w:w="1641"/>
        <w:gridCol w:w="1241"/>
        <w:gridCol w:w="1631"/>
        <w:gridCol w:w="1222"/>
      </w:tblGrid>
      <w:tr w:rsidR="00377443" w14:paraId="4BE02FB7" w14:textId="77777777" w:rsidTr="000972AF">
        <w:trPr>
          <w:jc w:val="center"/>
        </w:trPr>
        <w:tc>
          <w:tcPr>
            <w:tcW w:w="1533" w:type="pct"/>
            <w:tcBorders>
              <w:top w:val="single" w:sz="6" w:space="0" w:color="auto"/>
              <w:left w:val="nil"/>
              <w:bottom w:val="nil"/>
              <w:right w:val="nil"/>
            </w:tcBorders>
          </w:tcPr>
          <w:p w14:paraId="0F0EB5B2" w14:textId="77777777" w:rsidR="00377443" w:rsidRDefault="00377443" w:rsidP="000972AF">
            <w:pPr>
              <w:widowControl w:val="0"/>
              <w:autoSpaceDE w:val="0"/>
              <w:autoSpaceDN w:val="0"/>
              <w:adjustRightInd w:val="0"/>
              <w:spacing w:after="0" w:line="240" w:lineRule="auto"/>
              <w:rPr>
                <w:szCs w:val="24"/>
              </w:rPr>
            </w:pPr>
          </w:p>
        </w:tc>
        <w:tc>
          <w:tcPr>
            <w:tcW w:w="615" w:type="pct"/>
            <w:tcBorders>
              <w:top w:val="single" w:sz="6" w:space="0" w:color="auto"/>
              <w:left w:val="nil"/>
              <w:bottom w:val="nil"/>
              <w:right w:val="nil"/>
            </w:tcBorders>
          </w:tcPr>
          <w:p w14:paraId="425D318D" w14:textId="77777777" w:rsidR="00377443" w:rsidRDefault="00377443" w:rsidP="000972AF">
            <w:pPr>
              <w:widowControl w:val="0"/>
              <w:autoSpaceDE w:val="0"/>
              <w:autoSpaceDN w:val="0"/>
              <w:adjustRightInd w:val="0"/>
              <w:spacing w:after="0" w:line="240" w:lineRule="auto"/>
              <w:jc w:val="center"/>
              <w:rPr>
                <w:szCs w:val="24"/>
              </w:rPr>
            </w:pPr>
            <w:r>
              <w:rPr>
                <w:szCs w:val="24"/>
              </w:rPr>
              <w:t>(1)</w:t>
            </w:r>
          </w:p>
        </w:tc>
        <w:tc>
          <w:tcPr>
            <w:tcW w:w="816" w:type="pct"/>
            <w:tcBorders>
              <w:top w:val="single" w:sz="6" w:space="0" w:color="auto"/>
              <w:left w:val="nil"/>
              <w:bottom w:val="nil"/>
              <w:right w:val="nil"/>
            </w:tcBorders>
          </w:tcPr>
          <w:p w14:paraId="0C42B76E" w14:textId="77777777" w:rsidR="00377443" w:rsidRDefault="00377443" w:rsidP="000972AF">
            <w:pPr>
              <w:widowControl w:val="0"/>
              <w:autoSpaceDE w:val="0"/>
              <w:autoSpaceDN w:val="0"/>
              <w:adjustRightInd w:val="0"/>
              <w:spacing w:after="0" w:line="240" w:lineRule="auto"/>
              <w:jc w:val="center"/>
              <w:rPr>
                <w:szCs w:val="24"/>
              </w:rPr>
            </w:pPr>
            <w:r>
              <w:rPr>
                <w:szCs w:val="24"/>
              </w:rPr>
              <w:t>(2)</w:t>
            </w:r>
          </w:p>
        </w:tc>
        <w:tc>
          <w:tcPr>
            <w:tcW w:w="617" w:type="pct"/>
            <w:tcBorders>
              <w:top w:val="single" w:sz="6" w:space="0" w:color="auto"/>
              <w:left w:val="nil"/>
              <w:bottom w:val="nil"/>
              <w:right w:val="nil"/>
            </w:tcBorders>
          </w:tcPr>
          <w:p w14:paraId="7683BC31" w14:textId="77777777" w:rsidR="00377443" w:rsidRDefault="00377443" w:rsidP="000972AF">
            <w:pPr>
              <w:widowControl w:val="0"/>
              <w:autoSpaceDE w:val="0"/>
              <w:autoSpaceDN w:val="0"/>
              <w:adjustRightInd w:val="0"/>
              <w:spacing w:after="0" w:line="240" w:lineRule="auto"/>
              <w:jc w:val="center"/>
              <w:rPr>
                <w:szCs w:val="24"/>
              </w:rPr>
            </w:pPr>
            <w:r>
              <w:rPr>
                <w:szCs w:val="24"/>
              </w:rPr>
              <w:t>(3)</w:t>
            </w:r>
          </w:p>
        </w:tc>
        <w:tc>
          <w:tcPr>
            <w:tcW w:w="811" w:type="pct"/>
            <w:tcBorders>
              <w:top w:val="single" w:sz="6" w:space="0" w:color="auto"/>
              <w:left w:val="nil"/>
              <w:bottom w:val="nil"/>
              <w:right w:val="nil"/>
            </w:tcBorders>
          </w:tcPr>
          <w:p w14:paraId="36D79DB6" w14:textId="77777777" w:rsidR="00377443" w:rsidRDefault="00377443" w:rsidP="000972AF">
            <w:pPr>
              <w:widowControl w:val="0"/>
              <w:autoSpaceDE w:val="0"/>
              <w:autoSpaceDN w:val="0"/>
              <w:adjustRightInd w:val="0"/>
              <w:spacing w:after="0" w:line="240" w:lineRule="auto"/>
              <w:jc w:val="center"/>
              <w:rPr>
                <w:szCs w:val="24"/>
              </w:rPr>
            </w:pPr>
            <w:r>
              <w:rPr>
                <w:szCs w:val="24"/>
              </w:rPr>
              <w:t>(4)</w:t>
            </w:r>
          </w:p>
        </w:tc>
        <w:tc>
          <w:tcPr>
            <w:tcW w:w="608" w:type="pct"/>
            <w:tcBorders>
              <w:top w:val="single" w:sz="6" w:space="0" w:color="auto"/>
              <w:left w:val="nil"/>
              <w:bottom w:val="nil"/>
              <w:right w:val="nil"/>
            </w:tcBorders>
          </w:tcPr>
          <w:p w14:paraId="08CA16FA" w14:textId="77777777" w:rsidR="00377443" w:rsidRDefault="00377443" w:rsidP="000972AF">
            <w:pPr>
              <w:widowControl w:val="0"/>
              <w:autoSpaceDE w:val="0"/>
              <w:autoSpaceDN w:val="0"/>
              <w:adjustRightInd w:val="0"/>
              <w:spacing w:after="0" w:line="240" w:lineRule="auto"/>
              <w:jc w:val="center"/>
              <w:rPr>
                <w:szCs w:val="24"/>
              </w:rPr>
            </w:pPr>
            <w:r>
              <w:rPr>
                <w:szCs w:val="24"/>
              </w:rPr>
              <w:t>(5)</w:t>
            </w:r>
          </w:p>
        </w:tc>
      </w:tr>
      <w:tr w:rsidR="00377443" w14:paraId="755FA2CE" w14:textId="77777777" w:rsidTr="000972AF">
        <w:trPr>
          <w:jc w:val="center"/>
        </w:trPr>
        <w:tc>
          <w:tcPr>
            <w:tcW w:w="1533" w:type="pct"/>
            <w:tcBorders>
              <w:top w:val="nil"/>
              <w:left w:val="nil"/>
              <w:bottom w:val="single" w:sz="6" w:space="0" w:color="auto"/>
              <w:right w:val="nil"/>
            </w:tcBorders>
          </w:tcPr>
          <w:p w14:paraId="7293507A" w14:textId="77777777" w:rsidR="00377443" w:rsidRDefault="00377443" w:rsidP="000972AF">
            <w:pPr>
              <w:widowControl w:val="0"/>
              <w:autoSpaceDE w:val="0"/>
              <w:autoSpaceDN w:val="0"/>
              <w:adjustRightInd w:val="0"/>
              <w:spacing w:after="0" w:line="240" w:lineRule="auto"/>
              <w:rPr>
                <w:szCs w:val="24"/>
              </w:rPr>
            </w:pPr>
            <w:r>
              <w:rPr>
                <w:szCs w:val="24"/>
              </w:rPr>
              <w:t>VARIABLES</w:t>
            </w:r>
          </w:p>
        </w:tc>
        <w:tc>
          <w:tcPr>
            <w:tcW w:w="615" w:type="pct"/>
            <w:tcBorders>
              <w:top w:val="nil"/>
              <w:left w:val="nil"/>
              <w:bottom w:val="single" w:sz="6" w:space="0" w:color="auto"/>
              <w:right w:val="nil"/>
            </w:tcBorders>
          </w:tcPr>
          <w:p w14:paraId="18833FB9" w14:textId="77777777" w:rsidR="00377443" w:rsidRDefault="00377443" w:rsidP="000972AF">
            <w:pPr>
              <w:widowControl w:val="0"/>
              <w:autoSpaceDE w:val="0"/>
              <w:autoSpaceDN w:val="0"/>
              <w:adjustRightInd w:val="0"/>
              <w:spacing w:after="0" w:line="240" w:lineRule="auto"/>
              <w:jc w:val="center"/>
              <w:rPr>
                <w:szCs w:val="24"/>
              </w:rPr>
            </w:pPr>
            <w:r>
              <w:rPr>
                <w:szCs w:val="24"/>
              </w:rPr>
              <w:t>Product innovation</w:t>
            </w:r>
          </w:p>
        </w:tc>
        <w:tc>
          <w:tcPr>
            <w:tcW w:w="816" w:type="pct"/>
            <w:tcBorders>
              <w:top w:val="nil"/>
              <w:left w:val="nil"/>
              <w:bottom w:val="single" w:sz="6" w:space="0" w:color="auto"/>
              <w:right w:val="nil"/>
            </w:tcBorders>
          </w:tcPr>
          <w:p w14:paraId="7E306928" w14:textId="77777777" w:rsidR="00377443" w:rsidRDefault="00377443" w:rsidP="000972AF">
            <w:pPr>
              <w:widowControl w:val="0"/>
              <w:autoSpaceDE w:val="0"/>
              <w:autoSpaceDN w:val="0"/>
              <w:adjustRightInd w:val="0"/>
              <w:spacing w:after="0" w:line="240" w:lineRule="auto"/>
              <w:jc w:val="center"/>
              <w:rPr>
                <w:szCs w:val="24"/>
              </w:rPr>
            </w:pPr>
            <w:r>
              <w:rPr>
                <w:szCs w:val="24"/>
              </w:rPr>
              <w:t>New-to-market innovation</w:t>
            </w:r>
          </w:p>
        </w:tc>
        <w:tc>
          <w:tcPr>
            <w:tcW w:w="617" w:type="pct"/>
            <w:tcBorders>
              <w:top w:val="nil"/>
              <w:left w:val="nil"/>
              <w:bottom w:val="single" w:sz="6" w:space="0" w:color="auto"/>
              <w:right w:val="nil"/>
            </w:tcBorders>
          </w:tcPr>
          <w:p w14:paraId="223F1247" w14:textId="77777777" w:rsidR="00377443" w:rsidRDefault="00377443" w:rsidP="000972AF">
            <w:pPr>
              <w:widowControl w:val="0"/>
              <w:autoSpaceDE w:val="0"/>
              <w:autoSpaceDN w:val="0"/>
              <w:adjustRightInd w:val="0"/>
              <w:spacing w:after="0" w:line="240" w:lineRule="auto"/>
              <w:jc w:val="center"/>
              <w:rPr>
                <w:szCs w:val="24"/>
              </w:rPr>
            </w:pPr>
            <w:r>
              <w:rPr>
                <w:szCs w:val="24"/>
              </w:rPr>
              <w:t>Process innovation</w:t>
            </w:r>
          </w:p>
        </w:tc>
        <w:tc>
          <w:tcPr>
            <w:tcW w:w="811" w:type="pct"/>
            <w:tcBorders>
              <w:top w:val="nil"/>
              <w:left w:val="nil"/>
              <w:bottom w:val="single" w:sz="6" w:space="0" w:color="auto"/>
              <w:right w:val="nil"/>
            </w:tcBorders>
          </w:tcPr>
          <w:p w14:paraId="68ACF340" w14:textId="77777777" w:rsidR="00377443" w:rsidRDefault="00377443" w:rsidP="000972AF">
            <w:pPr>
              <w:widowControl w:val="0"/>
              <w:autoSpaceDE w:val="0"/>
              <w:autoSpaceDN w:val="0"/>
              <w:adjustRightInd w:val="0"/>
              <w:spacing w:after="0" w:line="240" w:lineRule="auto"/>
              <w:jc w:val="center"/>
              <w:rPr>
                <w:szCs w:val="24"/>
              </w:rPr>
            </w:pPr>
            <w:r>
              <w:rPr>
                <w:szCs w:val="24"/>
              </w:rPr>
              <w:t>Organisational innovation</w:t>
            </w:r>
          </w:p>
        </w:tc>
        <w:tc>
          <w:tcPr>
            <w:tcW w:w="608" w:type="pct"/>
            <w:tcBorders>
              <w:top w:val="nil"/>
              <w:left w:val="nil"/>
              <w:bottom w:val="single" w:sz="6" w:space="0" w:color="auto"/>
              <w:right w:val="nil"/>
            </w:tcBorders>
          </w:tcPr>
          <w:p w14:paraId="4DFCC6B3" w14:textId="77777777" w:rsidR="00377443" w:rsidRDefault="00377443" w:rsidP="000972AF">
            <w:pPr>
              <w:widowControl w:val="0"/>
              <w:autoSpaceDE w:val="0"/>
              <w:autoSpaceDN w:val="0"/>
              <w:adjustRightInd w:val="0"/>
              <w:spacing w:after="0" w:line="240" w:lineRule="auto"/>
              <w:jc w:val="center"/>
              <w:rPr>
                <w:szCs w:val="24"/>
              </w:rPr>
            </w:pPr>
            <w:r>
              <w:rPr>
                <w:szCs w:val="24"/>
              </w:rPr>
              <w:t>Marketing innovation</w:t>
            </w:r>
          </w:p>
        </w:tc>
      </w:tr>
      <w:tr w:rsidR="00377443" w14:paraId="13B0D4D6" w14:textId="77777777" w:rsidTr="000972AF">
        <w:trPr>
          <w:jc w:val="center"/>
        </w:trPr>
        <w:tc>
          <w:tcPr>
            <w:tcW w:w="1533" w:type="pct"/>
            <w:tcBorders>
              <w:top w:val="nil"/>
              <w:left w:val="nil"/>
              <w:bottom w:val="nil"/>
              <w:right w:val="nil"/>
            </w:tcBorders>
          </w:tcPr>
          <w:p w14:paraId="70F5BA9C" w14:textId="77777777" w:rsidR="00377443" w:rsidRDefault="00377443" w:rsidP="000972AF">
            <w:pPr>
              <w:widowControl w:val="0"/>
              <w:autoSpaceDE w:val="0"/>
              <w:autoSpaceDN w:val="0"/>
              <w:adjustRightInd w:val="0"/>
              <w:spacing w:after="0" w:line="240" w:lineRule="auto"/>
              <w:rPr>
                <w:szCs w:val="24"/>
              </w:rPr>
            </w:pPr>
          </w:p>
        </w:tc>
        <w:tc>
          <w:tcPr>
            <w:tcW w:w="615" w:type="pct"/>
            <w:tcBorders>
              <w:top w:val="nil"/>
              <w:left w:val="nil"/>
              <w:bottom w:val="nil"/>
              <w:right w:val="nil"/>
            </w:tcBorders>
          </w:tcPr>
          <w:p w14:paraId="1E04E397" w14:textId="77777777" w:rsidR="00377443" w:rsidRDefault="00377443" w:rsidP="000972AF">
            <w:pPr>
              <w:widowControl w:val="0"/>
              <w:autoSpaceDE w:val="0"/>
              <w:autoSpaceDN w:val="0"/>
              <w:adjustRightInd w:val="0"/>
              <w:spacing w:after="0" w:line="240" w:lineRule="auto"/>
              <w:jc w:val="center"/>
              <w:rPr>
                <w:szCs w:val="24"/>
              </w:rPr>
            </w:pPr>
          </w:p>
        </w:tc>
        <w:tc>
          <w:tcPr>
            <w:tcW w:w="816" w:type="pct"/>
            <w:tcBorders>
              <w:top w:val="nil"/>
              <w:left w:val="nil"/>
              <w:bottom w:val="nil"/>
              <w:right w:val="nil"/>
            </w:tcBorders>
          </w:tcPr>
          <w:p w14:paraId="3C9BE781" w14:textId="77777777" w:rsidR="00377443" w:rsidRDefault="00377443" w:rsidP="000972AF">
            <w:pPr>
              <w:widowControl w:val="0"/>
              <w:autoSpaceDE w:val="0"/>
              <w:autoSpaceDN w:val="0"/>
              <w:adjustRightInd w:val="0"/>
              <w:spacing w:after="0" w:line="240" w:lineRule="auto"/>
              <w:jc w:val="center"/>
              <w:rPr>
                <w:szCs w:val="24"/>
              </w:rPr>
            </w:pPr>
          </w:p>
        </w:tc>
        <w:tc>
          <w:tcPr>
            <w:tcW w:w="617" w:type="pct"/>
            <w:tcBorders>
              <w:top w:val="nil"/>
              <w:left w:val="nil"/>
              <w:bottom w:val="nil"/>
              <w:right w:val="nil"/>
            </w:tcBorders>
          </w:tcPr>
          <w:p w14:paraId="440D1CED" w14:textId="77777777" w:rsidR="00377443" w:rsidRDefault="00377443" w:rsidP="000972AF">
            <w:pPr>
              <w:widowControl w:val="0"/>
              <w:autoSpaceDE w:val="0"/>
              <w:autoSpaceDN w:val="0"/>
              <w:adjustRightInd w:val="0"/>
              <w:spacing w:after="0" w:line="240" w:lineRule="auto"/>
              <w:jc w:val="center"/>
              <w:rPr>
                <w:szCs w:val="24"/>
              </w:rPr>
            </w:pPr>
          </w:p>
        </w:tc>
        <w:tc>
          <w:tcPr>
            <w:tcW w:w="811" w:type="pct"/>
            <w:tcBorders>
              <w:top w:val="nil"/>
              <w:left w:val="nil"/>
              <w:bottom w:val="nil"/>
              <w:right w:val="nil"/>
            </w:tcBorders>
          </w:tcPr>
          <w:p w14:paraId="461B7A80" w14:textId="77777777" w:rsidR="00377443" w:rsidRDefault="00377443" w:rsidP="000972AF">
            <w:pPr>
              <w:widowControl w:val="0"/>
              <w:autoSpaceDE w:val="0"/>
              <w:autoSpaceDN w:val="0"/>
              <w:adjustRightInd w:val="0"/>
              <w:spacing w:after="0" w:line="240" w:lineRule="auto"/>
              <w:jc w:val="center"/>
              <w:rPr>
                <w:szCs w:val="24"/>
              </w:rPr>
            </w:pPr>
          </w:p>
        </w:tc>
        <w:tc>
          <w:tcPr>
            <w:tcW w:w="608" w:type="pct"/>
            <w:tcBorders>
              <w:top w:val="nil"/>
              <w:left w:val="nil"/>
              <w:bottom w:val="nil"/>
              <w:right w:val="nil"/>
            </w:tcBorders>
          </w:tcPr>
          <w:p w14:paraId="27376881" w14:textId="77777777" w:rsidR="00377443" w:rsidRDefault="00377443" w:rsidP="000972AF">
            <w:pPr>
              <w:widowControl w:val="0"/>
              <w:autoSpaceDE w:val="0"/>
              <w:autoSpaceDN w:val="0"/>
              <w:adjustRightInd w:val="0"/>
              <w:spacing w:after="0" w:line="240" w:lineRule="auto"/>
              <w:jc w:val="center"/>
              <w:rPr>
                <w:szCs w:val="24"/>
              </w:rPr>
            </w:pPr>
          </w:p>
        </w:tc>
      </w:tr>
      <w:tr w:rsidR="00377443" w14:paraId="0AF9A6F7" w14:textId="77777777" w:rsidTr="000972AF">
        <w:trPr>
          <w:jc w:val="center"/>
        </w:trPr>
        <w:tc>
          <w:tcPr>
            <w:tcW w:w="1533" w:type="pct"/>
            <w:tcBorders>
              <w:top w:val="nil"/>
              <w:left w:val="nil"/>
              <w:bottom w:val="nil"/>
              <w:right w:val="nil"/>
            </w:tcBorders>
          </w:tcPr>
          <w:p w14:paraId="01E1E386" w14:textId="77777777" w:rsidR="00377443" w:rsidRPr="003E6B6C" w:rsidRDefault="00377443" w:rsidP="000972AF">
            <w:pPr>
              <w:keepNext/>
              <w:widowControl w:val="0"/>
              <w:autoSpaceDE w:val="0"/>
              <w:autoSpaceDN w:val="0"/>
              <w:adjustRightInd w:val="0"/>
              <w:spacing w:after="0" w:line="240" w:lineRule="auto"/>
              <w:rPr>
                <w:szCs w:val="24"/>
              </w:rPr>
            </w:pPr>
            <w:r w:rsidRPr="003E6B6C">
              <w:rPr>
                <w:szCs w:val="24"/>
              </w:rPr>
              <w:t>Regional partners</w:t>
            </w:r>
          </w:p>
        </w:tc>
        <w:tc>
          <w:tcPr>
            <w:tcW w:w="615" w:type="pct"/>
            <w:tcBorders>
              <w:top w:val="nil"/>
              <w:left w:val="nil"/>
              <w:bottom w:val="nil"/>
              <w:right w:val="nil"/>
            </w:tcBorders>
          </w:tcPr>
          <w:p w14:paraId="51E22D9F" w14:textId="77777777" w:rsidR="00377443" w:rsidRDefault="00377443" w:rsidP="000972AF">
            <w:pPr>
              <w:widowControl w:val="0"/>
              <w:autoSpaceDE w:val="0"/>
              <w:autoSpaceDN w:val="0"/>
              <w:adjustRightInd w:val="0"/>
              <w:spacing w:after="0" w:line="240" w:lineRule="auto"/>
              <w:jc w:val="center"/>
              <w:rPr>
                <w:szCs w:val="24"/>
              </w:rPr>
            </w:pPr>
            <w:r>
              <w:rPr>
                <w:szCs w:val="24"/>
              </w:rPr>
              <w:t>1.13***</w:t>
            </w:r>
          </w:p>
        </w:tc>
        <w:tc>
          <w:tcPr>
            <w:tcW w:w="816" w:type="pct"/>
            <w:tcBorders>
              <w:top w:val="nil"/>
              <w:left w:val="nil"/>
              <w:bottom w:val="nil"/>
              <w:right w:val="nil"/>
            </w:tcBorders>
          </w:tcPr>
          <w:p w14:paraId="6CFD1177" w14:textId="77777777" w:rsidR="00377443" w:rsidRDefault="00377443" w:rsidP="000972AF">
            <w:pPr>
              <w:widowControl w:val="0"/>
              <w:autoSpaceDE w:val="0"/>
              <w:autoSpaceDN w:val="0"/>
              <w:adjustRightInd w:val="0"/>
              <w:spacing w:after="0" w:line="240" w:lineRule="auto"/>
              <w:jc w:val="center"/>
              <w:rPr>
                <w:szCs w:val="24"/>
              </w:rPr>
            </w:pPr>
            <w:r>
              <w:rPr>
                <w:szCs w:val="24"/>
              </w:rPr>
              <w:t>1.12***</w:t>
            </w:r>
          </w:p>
        </w:tc>
        <w:tc>
          <w:tcPr>
            <w:tcW w:w="617" w:type="pct"/>
            <w:tcBorders>
              <w:top w:val="nil"/>
              <w:left w:val="nil"/>
              <w:bottom w:val="nil"/>
              <w:right w:val="nil"/>
            </w:tcBorders>
          </w:tcPr>
          <w:p w14:paraId="4393F7DE" w14:textId="77777777" w:rsidR="00377443" w:rsidRDefault="00377443" w:rsidP="000972AF">
            <w:pPr>
              <w:widowControl w:val="0"/>
              <w:autoSpaceDE w:val="0"/>
              <w:autoSpaceDN w:val="0"/>
              <w:adjustRightInd w:val="0"/>
              <w:spacing w:after="0" w:line="240" w:lineRule="auto"/>
              <w:jc w:val="center"/>
              <w:rPr>
                <w:szCs w:val="24"/>
              </w:rPr>
            </w:pPr>
            <w:r>
              <w:rPr>
                <w:szCs w:val="24"/>
              </w:rPr>
              <w:t>1.17***</w:t>
            </w:r>
          </w:p>
        </w:tc>
        <w:tc>
          <w:tcPr>
            <w:tcW w:w="811" w:type="pct"/>
            <w:tcBorders>
              <w:top w:val="nil"/>
              <w:left w:val="nil"/>
              <w:bottom w:val="nil"/>
              <w:right w:val="nil"/>
            </w:tcBorders>
          </w:tcPr>
          <w:p w14:paraId="1E98E062" w14:textId="77777777" w:rsidR="00377443" w:rsidRDefault="00377443" w:rsidP="000972AF">
            <w:pPr>
              <w:widowControl w:val="0"/>
              <w:autoSpaceDE w:val="0"/>
              <w:autoSpaceDN w:val="0"/>
              <w:adjustRightInd w:val="0"/>
              <w:spacing w:after="0" w:line="240" w:lineRule="auto"/>
              <w:jc w:val="center"/>
              <w:rPr>
                <w:szCs w:val="24"/>
              </w:rPr>
            </w:pPr>
            <w:r>
              <w:rPr>
                <w:szCs w:val="24"/>
              </w:rPr>
              <w:t>1.20***</w:t>
            </w:r>
          </w:p>
        </w:tc>
        <w:tc>
          <w:tcPr>
            <w:tcW w:w="608" w:type="pct"/>
            <w:tcBorders>
              <w:top w:val="nil"/>
              <w:left w:val="nil"/>
              <w:bottom w:val="nil"/>
              <w:right w:val="nil"/>
            </w:tcBorders>
          </w:tcPr>
          <w:p w14:paraId="69E4D62F" w14:textId="77777777" w:rsidR="00377443" w:rsidRDefault="00377443" w:rsidP="000972AF">
            <w:pPr>
              <w:widowControl w:val="0"/>
              <w:autoSpaceDE w:val="0"/>
              <w:autoSpaceDN w:val="0"/>
              <w:adjustRightInd w:val="0"/>
              <w:spacing w:after="0" w:line="240" w:lineRule="auto"/>
              <w:jc w:val="center"/>
              <w:rPr>
                <w:szCs w:val="24"/>
              </w:rPr>
            </w:pPr>
            <w:r>
              <w:rPr>
                <w:szCs w:val="24"/>
              </w:rPr>
              <w:t>1.11***</w:t>
            </w:r>
          </w:p>
        </w:tc>
      </w:tr>
      <w:tr w:rsidR="00377443" w14:paraId="0DFF3A74" w14:textId="77777777" w:rsidTr="000972AF">
        <w:trPr>
          <w:jc w:val="center"/>
        </w:trPr>
        <w:tc>
          <w:tcPr>
            <w:tcW w:w="1533" w:type="pct"/>
            <w:tcBorders>
              <w:top w:val="nil"/>
              <w:left w:val="nil"/>
              <w:bottom w:val="nil"/>
              <w:right w:val="nil"/>
            </w:tcBorders>
          </w:tcPr>
          <w:p w14:paraId="2686F5B3" w14:textId="77777777" w:rsidR="00377443" w:rsidRPr="003E6B6C" w:rsidRDefault="00377443" w:rsidP="000972AF">
            <w:pPr>
              <w:keepNext/>
              <w:widowControl w:val="0"/>
              <w:autoSpaceDE w:val="0"/>
              <w:autoSpaceDN w:val="0"/>
              <w:adjustRightInd w:val="0"/>
              <w:spacing w:after="0" w:line="240" w:lineRule="auto"/>
              <w:rPr>
                <w:szCs w:val="24"/>
              </w:rPr>
            </w:pPr>
          </w:p>
        </w:tc>
        <w:tc>
          <w:tcPr>
            <w:tcW w:w="615" w:type="pct"/>
            <w:tcBorders>
              <w:top w:val="nil"/>
              <w:left w:val="nil"/>
              <w:bottom w:val="nil"/>
              <w:right w:val="nil"/>
            </w:tcBorders>
          </w:tcPr>
          <w:p w14:paraId="228C8EB3" w14:textId="77777777" w:rsidR="00377443" w:rsidRDefault="00377443" w:rsidP="000972AF">
            <w:pPr>
              <w:widowControl w:val="0"/>
              <w:autoSpaceDE w:val="0"/>
              <w:autoSpaceDN w:val="0"/>
              <w:adjustRightInd w:val="0"/>
              <w:spacing w:after="0" w:line="240" w:lineRule="auto"/>
              <w:jc w:val="center"/>
              <w:rPr>
                <w:szCs w:val="24"/>
              </w:rPr>
            </w:pPr>
            <w:r>
              <w:rPr>
                <w:szCs w:val="24"/>
              </w:rPr>
              <w:t>(0.04)</w:t>
            </w:r>
          </w:p>
        </w:tc>
        <w:tc>
          <w:tcPr>
            <w:tcW w:w="816" w:type="pct"/>
            <w:tcBorders>
              <w:top w:val="nil"/>
              <w:left w:val="nil"/>
              <w:bottom w:val="nil"/>
              <w:right w:val="nil"/>
            </w:tcBorders>
          </w:tcPr>
          <w:p w14:paraId="054B2520" w14:textId="77777777" w:rsidR="00377443" w:rsidRDefault="00377443" w:rsidP="000972AF">
            <w:pPr>
              <w:widowControl w:val="0"/>
              <w:autoSpaceDE w:val="0"/>
              <w:autoSpaceDN w:val="0"/>
              <w:adjustRightInd w:val="0"/>
              <w:spacing w:after="0" w:line="240" w:lineRule="auto"/>
              <w:jc w:val="center"/>
              <w:rPr>
                <w:szCs w:val="24"/>
              </w:rPr>
            </w:pPr>
            <w:r>
              <w:rPr>
                <w:szCs w:val="24"/>
              </w:rPr>
              <w:t>(0.04)</w:t>
            </w:r>
          </w:p>
        </w:tc>
        <w:tc>
          <w:tcPr>
            <w:tcW w:w="617" w:type="pct"/>
            <w:tcBorders>
              <w:top w:val="nil"/>
              <w:left w:val="nil"/>
              <w:bottom w:val="nil"/>
              <w:right w:val="nil"/>
            </w:tcBorders>
          </w:tcPr>
          <w:p w14:paraId="2EDBE3AA" w14:textId="77777777" w:rsidR="00377443" w:rsidRDefault="00377443" w:rsidP="000972AF">
            <w:pPr>
              <w:widowControl w:val="0"/>
              <w:autoSpaceDE w:val="0"/>
              <w:autoSpaceDN w:val="0"/>
              <w:adjustRightInd w:val="0"/>
              <w:spacing w:after="0" w:line="240" w:lineRule="auto"/>
              <w:jc w:val="center"/>
              <w:rPr>
                <w:szCs w:val="24"/>
              </w:rPr>
            </w:pPr>
            <w:r>
              <w:rPr>
                <w:szCs w:val="24"/>
              </w:rPr>
              <w:t>(0.04)</w:t>
            </w:r>
          </w:p>
        </w:tc>
        <w:tc>
          <w:tcPr>
            <w:tcW w:w="811" w:type="pct"/>
            <w:tcBorders>
              <w:top w:val="nil"/>
              <w:left w:val="nil"/>
              <w:bottom w:val="nil"/>
              <w:right w:val="nil"/>
            </w:tcBorders>
          </w:tcPr>
          <w:p w14:paraId="44B9BC96" w14:textId="77777777" w:rsidR="00377443" w:rsidRDefault="00377443" w:rsidP="000972AF">
            <w:pPr>
              <w:widowControl w:val="0"/>
              <w:autoSpaceDE w:val="0"/>
              <w:autoSpaceDN w:val="0"/>
              <w:adjustRightInd w:val="0"/>
              <w:spacing w:after="0" w:line="240" w:lineRule="auto"/>
              <w:jc w:val="center"/>
              <w:rPr>
                <w:szCs w:val="24"/>
              </w:rPr>
            </w:pPr>
            <w:r>
              <w:rPr>
                <w:szCs w:val="24"/>
              </w:rPr>
              <w:t>(0.04)</w:t>
            </w:r>
          </w:p>
        </w:tc>
        <w:tc>
          <w:tcPr>
            <w:tcW w:w="608" w:type="pct"/>
            <w:tcBorders>
              <w:top w:val="nil"/>
              <w:left w:val="nil"/>
              <w:bottom w:val="nil"/>
              <w:right w:val="nil"/>
            </w:tcBorders>
          </w:tcPr>
          <w:p w14:paraId="24849971" w14:textId="77777777" w:rsidR="00377443" w:rsidRDefault="00377443" w:rsidP="000972AF">
            <w:pPr>
              <w:widowControl w:val="0"/>
              <w:autoSpaceDE w:val="0"/>
              <w:autoSpaceDN w:val="0"/>
              <w:adjustRightInd w:val="0"/>
              <w:spacing w:after="0" w:line="240" w:lineRule="auto"/>
              <w:jc w:val="center"/>
              <w:rPr>
                <w:szCs w:val="24"/>
              </w:rPr>
            </w:pPr>
            <w:r>
              <w:rPr>
                <w:szCs w:val="24"/>
              </w:rPr>
              <w:t>(0.03)</w:t>
            </w:r>
          </w:p>
        </w:tc>
      </w:tr>
      <w:tr w:rsidR="00377443" w14:paraId="13E5BC7C" w14:textId="77777777" w:rsidTr="000972AF">
        <w:trPr>
          <w:jc w:val="center"/>
        </w:trPr>
        <w:tc>
          <w:tcPr>
            <w:tcW w:w="1533" w:type="pct"/>
            <w:tcBorders>
              <w:top w:val="nil"/>
              <w:left w:val="nil"/>
              <w:bottom w:val="nil"/>
              <w:right w:val="nil"/>
            </w:tcBorders>
          </w:tcPr>
          <w:p w14:paraId="137222AD" w14:textId="77777777" w:rsidR="00377443" w:rsidRPr="003E6B6C" w:rsidRDefault="00377443" w:rsidP="000972AF">
            <w:pPr>
              <w:keepNext/>
              <w:widowControl w:val="0"/>
              <w:autoSpaceDE w:val="0"/>
              <w:autoSpaceDN w:val="0"/>
              <w:adjustRightInd w:val="0"/>
              <w:spacing w:after="0" w:line="240" w:lineRule="auto"/>
              <w:rPr>
                <w:szCs w:val="24"/>
              </w:rPr>
            </w:pPr>
            <w:r w:rsidRPr="003E6B6C">
              <w:rPr>
                <w:szCs w:val="24"/>
              </w:rPr>
              <w:t>National partners</w:t>
            </w:r>
          </w:p>
        </w:tc>
        <w:tc>
          <w:tcPr>
            <w:tcW w:w="615" w:type="pct"/>
            <w:tcBorders>
              <w:top w:val="nil"/>
              <w:left w:val="nil"/>
              <w:bottom w:val="nil"/>
              <w:right w:val="nil"/>
            </w:tcBorders>
          </w:tcPr>
          <w:p w14:paraId="1CA8F29C" w14:textId="77777777" w:rsidR="00377443" w:rsidRDefault="00377443" w:rsidP="000972AF">
            <w:pPr>
              <w:widowControl w:val="0"/>
              <w:autoSpaceDE w:val="0"/>
              <w:autoSpaceDN w:val="0"/>
              <w:adjustRightInd w:val="0"/>
              <w:spacing w:after="0" w:line="240" w:lineRule="auto"/>
              <w:jc w:val="center"/>
              <w:rPr>
                <w:szCs w:val="24"/>
              </w:rPr>
            </w:pPr>
            <w:r>
              <w:rPr>
                <w:szCs w:val="24"/>
              </w:rPr>
              <w:t>1.15***</w:t>
            </w:r>
          </w:p>
        </w:tc>
        <w:tc>
          <w:tcPr>
            <w:tcW w:w="816" w:type="pct"/>
            <w:tcBorders>
              <w:top w:val="nil"/>
              <w:left w:val="nil"/>
              <w:bottom w:val="nil"/>
              <w:right w:val="nil"/>
            </w:tcBorders>
          </w:tcPr>
          <w:p w14:paraId="18700126" w14:textId="77777777" w:rsidR="00377443" w:rsidRDefault="00377443" w:rsidP="000972AF">
            <w:pPr>
              <w:widowControl w:val="0"/>
              <w:autoSpaceDE w:val="0"/>
              <w:autoSpaceDN w:val="0"/>
              <w:adjustRightInd w:val="0"/>
              <w:spacing w:after="0" w:line="240" w:lineRule="auto"/>
              <w:jc w:val="center"/>
              <w:rPr>
                <w:szCs w:val="24"/>
              </w:rPr>
            </w:pPr>
            <w:r>
              <w:rPr>
                <w:szCs w:val="24"/>
              </w:rPr>
              <w:t>1.14***</w:t>
            </w:r>
          </w:p>
        </w:tc>
        <w:tc>
          <w:tcPr>
            <w:tcW w:w="617" w:type="pct"/>
            <w:tcBorders>
              <w:top w:val="nil"/>
              <w:left w:val="nil"/>
              <w:bottom w:val="nil"/>
              <w:right w:val="nil"/>
            </w:tcBorders>
          </w:tcPr>
          <w:p w14:paraId="1BE8C44E" w14:textId="77777777" w:rsidR="00377443" w:rsidRDefault="00377443" w:rsidP="000972AF">
            <w:pPr>
              <w:widowControl w:val="0"/>
              <w:autoSpaceDE w:val="0"/>
              <w:autoSpaceDN w:val="0"/>
              <w:adjustRightInd w:val="0"/>
              <w:spacing w:after="0" w:line="240" w:lineRule="auto"/>
              <w:jc w:val="center"/>
              <w:rPr>
                <w:szCs w:val="24"/>
              </w:rPr>
            </w:pPr>
            <w:r>
              <w:rPr>
                <w:szCs w:val="24"/>
              </w:rPr>
              <w:t>1.08**</w:t>
            </w:r>
          </w:p>
        </w:tc>
        <w:tc>
          <w:tcPr>
            <w:tcW w:w="811" w:type="pct"/>
            <w:tcBorders>
              <w:top w:val="nil"/>
              <w:left w:val="nil"/>
              <w:bottom w:val="nil"/>
              <w:right w:val="nil"/>
            </w:tcBorders>
          </w:tcPr>
          <w:p w14:paraId="4BBFB256" w14:textId="77777777" w:rsidR="00377443" w:rsidRDefault="00377443" w:rsidP="000972AF">
            <w:pPr>
              <w:widowControl w:val="0"/>
              <w:autoSpaceDE w:val="0"/>
              <w:autoSpaceDN w:val="0"/>
              <w:adjustRightInd w:val="0"/>
              <w:spacing w:after="0" w:line="240" w:lineRule="auto"/>
              <w:jc w:val="center"/>
              <w:rPr>
                <w:szCs w:val="24"/>
              </w:rPr>
            </w:pPr>
            <w:r>
              <w:rPr>
                <w:szCs w:val="24"/>
              </w:rPr>
              <w:t>1.08**</w:t>
            </w:r>
          </w:p>
        </w:tc>
        <w:tc>
          <w:tcPr>
            <w:tcW w:w="608" w:type="pct"/>
            <w:tcBorders>
              <w:top w:val="nil"/>
              <w:left w:val="nil"/>
              <w:bottom w:val="nil"/>
              <w:right w:val="nil"/>
            </w:tcBorders>
          </w:tcPr>
          <w:p w14:paraId="14296A75" w14:textId="77777777" w:rsidR="00377443" w:rsidRDefault="00377443" w:rsidP="000972AF">
            <w:pPr>
              <w:widowControl w:val="0"/>
              <w:autoSpaceDE w:val="0"/>
              <w:autoSpaceDN w:val="0"/>
              <w:adjustRightInd w:val="0"/>
              <w:spacing w:after="0" w:line="240" w:lineRule="auto"/>
              <w:jc w:val="center"/>
              <w:rPr>
                <w:szCs w:val="24"/>
              </w:rPr>
            </w:pPr>
            <w:r>
              <w:rPr>
                <w:szCs w:val="24"/>
              </w:rPr>
              <w:t>1.04</w:t>
            </w:r>
          </w:p>
        </w:tc>
      </w:tr>
      <w:tr w:rsidR="00377443" w14:paraId="3B508CE7" w14:textId="77777777" w:rsidTr="000972AF">
        <w:trPr>
          <w:jc w:val="center"/>
        </w:trPr>
        <w:tc>
          <w:tcPr>
            <w:tcW w:w="1533" w:type="pct"/>
            <w:tcBorders>
              <w:top w:val="nil"/>
              <w:left w:val="nil"/>
              <w:bottom w:val="nil"/>
              <w:right w:val="nil"/>
            </w:tcBorders>
          </w:tcPr>
          <w:p w14:paraId="6F7C9A70" w14:textId="77777777" w:rsidR="00377443" w:rsidRPr="003E6B6C" w:rsidRDefault="00377443" w:rsidP="000972AF">
            <w:pPr>
              <w:keepNext/>
              <w:widowControl w:val="0"/>
              <w:autoSpaceDE w:val="0"/>
              <w:autoSpaceDN w:val="0"/>
              <w:adjustRightInd w:val="0"/>
              <w:spacing w:after="0" w:line="240" w:lineRule="auto"/>
              <w:rPr>
                <w:szCs w:val="24"/>
              </w:rPr>
            </w:pPr>
          </w:p>
        </w:tc>
        <w:tc>
          <w:tcPr>
            <w:tcW w:w="615" w:type="pct"/>
            <w:tcBorders>
              <w:top w:val="nil"/>
              <w:left w:val="nil"/>
              <w:bottom w:val="nil"/>
              <w:right w:val="nil"/>
            </w:tcBorders>
          </w:tcPr>
          <w:p w14:paraId="1A3DC023" w14:textId="77777777" w:rsidR="00377443" w:rsidRDefault="00377443" w:rsidP="000972AF">
            <w:pPr>
              <w:widowControl w:val="0"/>
              <w:autoSpaceDE w:val="0"/>
              <w:autoSpaceDN w:val="0"/>
              <w:adjustRightInd w:val="0"/>
              <w:spacing w:after="0" w:line="240" w:lineRule="auto"/>
              <w:jc w:val="center"/>
              <w:rPr>
                <w:szCs w:val="24"/>
              </w:rPr>
            </w:pPr>
            <w:r>
              <w:rPr>
                <w:szCs w:val="24"/>
              </w:rPr>
              <w:t>(0.04)</w:t>
            </w:r>
          </w:p>
        </w:tc>
        <w:tc>
          <w:tcPr>
            <w:tcW w:w="816" w:type="pct"/>
            <w:tcBorders>
              <w:top w:val="nil"/>
              <w:left w:val="nil"/>
              <w:bottom w:val="nil"/>
              <w:right w:val="nil"/>
            </w:tcBorders>
          </w:tcPr>
          <w:p w14:paraId="4E00C586" w14:textId="77777777" w:rsidR="00377443" w:rsidRDefault="00377443" w:rsidP="000972AF">
            <w:pPr>
              <w:widowControl w:val="0"/>
              <w:autoSpaceDE w:val="0"/>
              <w:autoSpaceDN w:val="0"/>
              <w:adjustRightInd w:val="0"/>
              <w:spacing w:after="0" w:line="240" w:lineRule="auto"/>
              <w:jc w:val="center"/>
              <w:rPr>
                <w:szCs w:val="24"/>
              </w:rPr>
            </w:pPr>
            <w:r>
              <w:rPr>
                <w:szCs w:val="24"/>
              </w:rPr>
              <w:t>(0.03)</w:t>
            </w:r>
          </w:p>
        </w:tc>
        <w:tc>
          <w:tcPr>
            <w:tcW w:w="617" w:type="pct"/>
            <w:tcBorders>
              <w:top w:val="nil"/>
              <w:left w:val="nil"/>
              <w:bottom w:val="nil"/>
              <w:right w:val="nil"/>
            </w:tcBorders>
          </w:tcPr>
          <w:p w14:paraId="0EA6721C" w14:textId="77777777" w:rsidR="00377443" w:rsidRDefault="00377443" w:rsidP="000972AF">
            <w:pPr>
              <w:widowControl w:val="0"/>
              <w:autoSpaceDE w:val="0"/>
              <w:autoSpaceDN w:val="0"/>
              <w:adjustRightInd w:val="0"/>
              <w:spacing w:after="0" w:line="240" w:lineRule="auto"/>
              <w:jc w:val="center"/>
              <w:rPr>
                <w:szCs w:val="24"/>
              </w:rPr>
            </w:pPr>
            <w:r>
              <w:rPr>
                <w:szCs w:val="24"/>
              </w:rPr>
              <w:t>(0.03)</w:t>
            </w:r>
          </w:p>
        </w:tc>
        <w:tc>
          <w:tcPr>
            <w:tcW w:w="811" w:type="pct"/>
            <w:tcBorders>
              <w:top w:val="nil"/>
              <w:left w:val="nil"/>
              <w:bottom w:val="nil"/>
              <w:right w:val="nil"/>
            </w:tcBorders>
          </w:tcPr>
          <w:p w14:paraId="22745A24" w14:textId="77777777" w:rsidR="00377443" w:rsidRDefault="00377443" w:rsidP="000972AF">
            <w:pPr>
              <w:widowControl w:val="0"/>
              <w:autoSpaceDE w:val="0"/>
              <w:autoSpaceDN w:val="0"/>
              <w:adjustRightInd w:val="0"/>
              <w:spacing w:after="0" w:line="240" w:lineRule="auto"/>
              <w:jc w:val="center"/>
              <w:rPr>
                <w:szCs w:val="24"/>
              </w:rPr>
            </w:pPr>
            <w:r>
              <w:rPr>
                <w:szCs w:val="24"/>
              </w:rPr>
              <w:t>(0.03)</w:t>
            </w:r>
          </w:p>
        </w:tc>
        <w:tc>
          <w:tcPr>
            <w:tcW w:w="608" w:type="pct"/>
            <w:tcBorders>
              <w:top w:val="nil"/>
              <w:left w:val="nil"/>
              <w:bottom w:val="nil"/>
              <w:right w:val="nil"/>
            </w:tcBorders>
          </w:tcPr>
          <w:p w14:paraId="64B2D2DE" w14:textId="77777777" w:rsidR="00377443" w:rsidRDefault="00377443" w:rsidP="000972AF">
            <w:pPr>
              <w:widowControl w:val="0"/>
              <w:autoSpaceDE w:val="0"/>
              <w:autoSpaceDN w:val="0"/>
              <w:adjustRightInd w:val="0"/>
              <w:spacing w:after="0" w:line="240" w:lineRule="auto"/>
              <w:jc w:val="center"/>
              <w:rPr>
                <w:szCs w:val="24"/>
              </w:rPr>
            </w:pPr>
            <w:r>
              <w:rPr>
                <w:szCs w:val="24"/>
              </w:rPr>
              <w:t>(0.03)</w:t>
            </w:r>
          </w:p>
        </w:tc>
      </w:tr>
      <w:tr w:rsidR="00377443" w14:paraId="4B09B248" w14:textId="77777777" w:rsidTr="000972AF">
        <w:trPr>
          <w:jc w:val="center"/>
        </w:trPr>
        <w:tc>
          <w:tcPr>
            <w:tcW w:w="1533" w:type="pct"/>
            <w:tcBorders>
              <w:top w:val="nil"/>
              <w:left w:val="nil"/>
              <w:bottom w:val="nil"/>
              <w:right w:val="nil"/>
            </w:tcBorders>
          </w:tcPr>
          <w:p w14:paraId="1C3A563B" w14:textId="77777777" w:rsidR="00377443" w:rsidRPr="003E6B6C" w:rsidRDefault="00377443" w:rsidP="000972AF">
            <w:pPr>
              <w:keepNext/>
              <w:widowControl w:val="0"/>
              <w:autoSpaceDE w:val="0"/>
              <w:autoSpaceDN w:val="0"/>
              <w:adjustRightInd w:val="0"/>
              <w:spacing w:after="0" w:line="240" w:lineRule="auto"/>
              <w:rPr>
                <w:szCs w:val="24"/>
              </w:rPr>
            </w:pPr>
            <w:r w:rsidRPr="003E6B6C">
              <w:rPr>
                <w:szCs w:val="24"/>
              </w:rPr>
              <w:t>Foreign partners</w:t>
            </w:r>
          </w:p>
        </w:tc>
        <w:tc>
          <w:tcPr>
            <w:tcW w:w="615" w:type="pct"/>
            <w:tcBorders>
              <w:top w:val="nil"/>
              <w:left w:val="nil"/>
              <w:bottom w:val="nil"/>
              <w:right w:val="nil"/>
            </w:tcBorders>
          </w:tcPr>
          <w:p w14:paraId="050AE6E2" w14:textId="77777777" w:rsidR="00377443" w:rsidRDefault="00377443" w:rsidP="000972AF">
            <w:pPr>
              <w:widowControl w:val="0"/>
              <w:autoSpaceDE w:val="0"/>
              <w:autoSpaceDN w:val="0"/>
              <w:adjustRightInd w:val="0"/>
              <w:spacing w:after="0" w:line="240" w:lineRule="auto"/>
              <w:jc w:val="center"/>
              <w:rPr>
                <w:szCs w:val="24"/>
              </w:rPr>
            </w:pPr>
            <w:r>
              <w:rPr>
                <w:szCs w:val="24"/>
              </w:rPr>
              <w:t>1.31***</w:t>
            </w:r>
          </w:p>
        </w:tc>
        <w:tc>
          <w:tcPr>
            <w:tcW w:w="816" w:type="pct"/>
            <w:tcBorders>
              <w:top w:val="nil"/>
              <w:left w:val="nil"/>
              <w:bottom w:val="nil"/>
              <w:right w:val="nil"/>
            </w:tcBorders>
          </w:tcPr>
          <w:p w14:paraId="0E483097" w14:textId="77777777" w:rsidR="00377443" w:rsidRDefault="00377443" w:rsidP="000972AF">
            <w:pPr>
              <w:widowControl w:val="0"/>
              <w:autoSpaceDE w:val="0"/>
              <w:autoSpaceDN w:val="0"/>
              <w:adjustRightInd w:val="0"/>
              <w:spacing w:after="0" w:line="240" w:lineRule="auto"/>
              <w:jc w:val="center"/>
              <w:rPr>
                <w:szCs w:val="24"/>
              </w:rPr>
            </w:pPr>
            <w:r>
              <w:rPr>
                <w:szCs w:val="24"/>
              </w:rPr>
              <w:t>1.22***</w:t>
            </w:r>
          </w:p>
        </w:tc>
        <w:tc>
          <w:tcPr>
            <w:tcW w:w="617" w:type="pct"/>
            <w:tcBorders>
              <w:top w:val="nil"/>
              <w:left w:val="nil"/>
              <w:bottom w:val="nil"/>
              <w:right w:val="nil"/>
            </w:tcBorders>
          </w:tcPr>
          <w:p w14:paraId="027CC516" w14:textId="77777777" w:rsidR="00377443" w:rsidRDefault="00377443" w:rsidP="000972AF">
            <w:pPr>
              <w:widowControl w:val="0"/>
              <w:autoSpaceDE w:val="0"/>
              <w:autoSpaceDN w:val="0"/>
              <w:adjustRightInd w:val="0"/>
              <w:spacing w:after="0" w:line="240" w:lineRule="auto"/>
              <w:jc w:val="center"/>
              <w:rPr>
                <w:szCs w:val="24"/>
              </w:rPr>
            </w:pPr>
            <w:r>
              <w:rPr>
                <w:szCs w:val="24"/>
              </w:rPr>
              <w:t>1.15***</w:t>
            </w:r>
          </w:p>
        </w:tc>
        <w:tc>
          <w:tcPr>
            <w:tcW w:w="811" w:type="pct"/>
            <w:tcBorders>
              <w:top w:val="nil"/>
              <w:left w:val="nil"/>
              <w:bottom w:val="nil"/>
              <w:right w:val="nil"/>
            </w:tcBorders>
          </w:tcPr>
          <w:p w14:paraId="07A18143" w14:textId="77777777" w:rsidR="00377443" w:rsidRDefault="00377443" w:rsidP="000972AF">
            <w:pPr>
              <w:widowControl w:val="0"/>
              <w:autoSpaceDE w:val="0"/>
              <w:autoSpaceDN w:val="0"/>
              <w:adjustRightInd w:val="0"/>
              <w:spacing w:after="0" w:line="240" w:lineRule="auto"/>
              <w:jc w:val="center"/>
              <w:rPr>
                <w:szCs w:val="24"/>
              </w:rPr>
            </w:pPr>
            <w:r>
              <w:rPr>
                <w:szCs w:val="24"/>
              </w:rPr>
              <w:t>1.10**</w:t>
            </w:r>
          </w:p>
        </w:tc>
        <w:tc>
          <w:tcPr>
            <w:tcW w:w="608" w:type="pct"/>
            <w:tcBorders>
              <w:top w:val="nil"/>
              <w:left w:val="nil"/>
              <w:bottom w:val="nil"/>
              <w:right w:val="nil"/>
            </w:tcBorders>
          </w:tcPr>
          <w:p w14:paraId="59E89785" w14:textId="77777777" w:rsidR="00377443" w:rsidRDefault="00377443" w:rsidP="000972AF">
            <w:pPr>
              <w:widowControl w:val="0"/>
              <w:autoSpaceDE w:val="0"/>
              <w:autoSpaceDN w:val="0"/>
              <w:adjustRightInd w:val="0"/>
              <w:spacing w:after="0" w:line="240" w:lineRule="auto"/>
              <w:jc w:val="center"/>
              <w:rPr>
                <w:szCs w:val="24"/>
              </w:rPr>
            </w:pPr>
            <w:r>
              <w:rPr>
                <w:szCs w:val="24"/>
              </w:rPr>
              <w:t>1.17***</w:t>
            </w:r>
          </w:p>
        </w:tc>
      </w:tr>
      <w:tr w:rsidR="00377443" w14:paraId="49E89C7B" w14:textId="77777777" w:rsidTr="000972AF">
        <w:trPr>
          <w:jc w:val="center"/>
        </w:trPr>
        <w:tc>
          <w:tcPr>
            <w:tcW w:w="1533" w:type="pct"/>
            <w:tcBorders>
              <w:top w:val="nil"/>
              <w:left w:val="nil"/>
              <w:bottom w:val="nil"/>
              <w:right w:val="nil"/>
            </w:tcBorders>
          </w:tcPr>
          <w:p w14:paraId="4E095111" w14:textId="77777777" w:rsidR="00377443" w:rsidRPr="003E6B6C" w:rsidRDefault="00377443" w:rsidP="000972AF">
            <w:pPr>
              <w:keepNext/>
              <w:widowControl w:val="0"/>
              <w:autoSpaceDE w:val="0"/>
              <w:autoSpaceDN w:val="0"/>
              <w:adjustRightInd w:val="0"/>
              <w:spacing w:after="0" w:line="240" w:lineRule="auto"/>
              <w:rPr>
                <w:szCs w:val="24"/>
              </w:rPr>
            </w:pPr>
          </w:p>
        </w:tc>
        <w:tc>
          <w:tcPr>
            <w:tcW w:w="615" w:type="pct"/>
            <w:tcBorders>
              <w:top w:val="nil"/>
              <w:left w:val="nil"/>
              <w:bottom w:val="nil"/>
              <w:right w:val="nil"/>
            </w:tcBorders>
          </w:tcPr>
          <w:p w14:paraId="5677DC01" w14:textId="77777777" w:rsidR="00377443" w:rsidRDefault="00377443" w:rsidP="000972AF">
            <w:pPr>
              <w:widowControl w:val="0"/>
              <w:autoSpaceDE w:val="0"/>
              <w:autoSpaceDN w:val="0"/>
              <w:adjustRightInd w:val="0"/>
              <w:spacing w:after="0" w:line="240" w:lineRule="auto"/>
              <w:jc w:val="center"/>
              <w:rPr>
                <w:szCs w:val="24"/>
              </w:rPr>
            </w:pPr>
            <w:r>
              <w:rPr>
                <w:szCs w:val="24"/>
              </w:rPr>
              <w:t>(0.05)</w:t>
            </w:r>
          </w:p>
        </w:tc>
        <w:tc>
          <w:tcPr>
            <w:tcW w:w="816" w:type="pct"/>
            <w:tcBorders>
              <w:top w:val="nil"/>
              <w:left w:val="nil"/>
              <w:bottom w:val="nil"/>
              <w:right w:val="nil"/>
            </w:tcBorders>
          </w:tcPr>
          <w:p w14:paraId="4F40029B" w14:textId="77777777" w:rsidR="00377443" w:rsidRDefault="00377443" w:rsidP="000972AF">
            <w:pPr>
              <w:widowControl w:val="0"/>
              <w:autoSpaceDE w:val="0"/>
              <w:autoSpaceDN w:val="0"/>
              <w:adjustRightInd w:val="0"/>
              <w:spacing w:after="0" w:line="240" w:lineRule="auto"/>
              <w:jc w:val="center"/>
              <w:rPr>
                <w:szCs w:val="24"/>
              </w:rPr>
            </w:pPr>
            <w:r>
              <w:rPr>
                <w:szCs w:val="24"/>
              </w:rPr>
              <w:t>(0.04)</w:t>
            </w:r>
          </w:p>
        </w:tc>
        <w:tc>
          <w:tcPr>
            <w:tcW w:w="617" w:type="pct"/>
            <w:tcBorders>
              <w:top w:val="nil"/>
              <w:left w:val="nil"/>
              <w:bottom w:val="nil"/>
              <w:right w:val="nil"/>
            </w:tcBorders>
          </w:tcPr>
          <w:p w14:paraId="65B0D1E4" w14:textId="77777777" w:rsidR="00377443" w:rsidRDefault="00377443" w:rsidP="000972AF">
            <w:pPr>
              <w:widowControl w:val="0"/>
              <w:autoSpaceDE w:val="0"/>
              <w:autoSpaceDN w:val="0"/>
              <w:adjustRightInd w:val="0"/>
              <w:spacing w:after="0" w:line="240" w:lineRule="auto"/>
              <w:jc w:val="center"/>
              <w:rPr>
                <w:szCs w:val="24"/>
              </w:rPr>
            </w:pPr>
            <w:r>
              <w:rPr>
                <w:szCs w:val="24"/>
              </w:rPr>
              <w:t>(0.03)</w:t>
            </w:r>
          </w:p>
        </w:tc>
        <w:tc>
          <w:tcPr>
            <w:tcW w:w="811" w:type="pct"/>
            <w:tcBorders>
              <w:top w:val="nil"/>
              <w:left w:val="nil"/>
              <w:bottom w:val="nil"/>
              <w:right w:val="nil"/>
            </w:tcBorders>
          </w:tcPr>
          <w:p w14:paraId="4B711303" w14:textId="77777777" w:rsidR="00377443" w:rsidRDefault="00377443" w:rsidP="000972AF">
            <w:pPr>
              <w:widowControl w:val="0"/>
              <w:autoSpaceDE w:val="0"/>
              <w:autoSpaceDN w:val="0"/>
              <w:adjustRightInd w:val="0"/>
              <w:spacing w:after="0" w:line="240" w:lineRule="auto"/>
              <w:jc w:val="center"/>
              <w:rPr>
                <w:szCs w:val="24"/>
              </w:rPr>
            </w:pPr>
            <w:r>
              <w:rPr>
                <w:szCs w:val="24"/>
              </w:rPr>
              <w:t>(0.03)</w:t>
            </w:r>
          </w:p>
        </w:tc>
        <w:tc>
          <w:tcPr>
            <w:tcW w:w="608" w:type="pct"/>
            <w:tcBorders>
              <w:top w:val="nil"/>
              <w:left w:val="nil"/>
              <w:bottom w:val="nil"/>
              <w:right w:val="nil"/>
            </w:tcBorders>
          </w:tcPr>
          <w:p w14:paraId="4BF3253E" w14:textId="77777777" w:rsidR="00377443" w:rsidRDefault="00377443" w:rsidP="000972AF">
            <w:pPr>
              <w:widowControl w:val="0"/>
              <w:autoSpaceDE w:val="0"/>
              <w:autoSpaceDN w:val="0"/>
              <w:adjustRightInd w:val="0"/>
              <w:spacing w:after="0" w:line="240" w:lineRule="auto"/>
              <w:jc w:val="center"/>
              <w:rPr>
                <w:szCs w:val="24"/>
              </w:rPr>
            </w:pPr>
            <w:r>
              <w:rPr>
                <w:szCs w:val="24"/>
              </w:rPr>
              <w:t>(0.04)</w:t>
            </w:r>
          </w:p>
        </w:tc>
      </w:tr>
      <w:tr w:rsidR="00377443" w14:paraId="1E6D4CBB" w14:textId="77777777" w:rsidTr="000972AF">
        <w:trPr>
          <w:jc w:val="center"/>
        </w:trPr>
        <w:tc>
          <w:tcPr>
            <w:tcW w:w="1533" w:type="pct"/>
            <w:tcBorders>
              <w:top w:val="nil"/>
              <w:left w:val="nil"/>
              <w:bottom w:val="nil"/>
              <w:right w:val="nil"/>
            </w:tcBorders>
          </w:tcPr>
          <w:p w14:paraId="7BC7F62B" w14:textId="77777777" w:rsidR="00377443" w:rsidRPr="003E6B6C" w:rsidRDefault="00377443" w:rsidP="000972AF">
            <w:pPr>
              <w:keepNext/>
              <w:widowControl w:val="0"/>
              <w:autoSpaceDE w:val="0"/>
              <w:autoSpaceDN w:val="0"/>
              <w:adjustRightInd w:val="0"/>
              <w:spacing w:after="0" w:line="240" w:lineRule="auto"/>
              <w:rPr>
                <w:szCs w:val="24"/>
              </w:rPr>
            </w:pPr>
            <w:r w:rsidRPr="003E6B6C">
              <w:rPr>
                <w:szCs w:val="24"/>
              </w:rPr>
              <w:t>Small city</w:t>
            </w:r>
          </w:p>
        </w:tc>
        <w:tc>
          <w:tcPr>
            <w:tcW w:w="615" w:type="pct"/>
            <w:tcBorders>
              <w:top w:val="nil"/>
              <w:left w:val="nil"/>
              <w:bottom w:val="nil"/>
              <w:right w:val="nil"/>
            </w:tcBorders>
          </w:tcPr>
          <w:p w14:paraId="413BC782" w14:textId="77777777" w:rsidR="00377443" w:rsidRDefault="00377443" w:rsidP="000972AF">
            <w:pPr>
              <w:widowControl w:val="0"/>
              <w:autoSpaceDE w:val="0"/>
              <w:autoSpaceDN w:val="0"/>
              <w:adjustRightInd w:val="0"/>
              <w:spacing w:after="0" w:line="240" w:lineRule="auto"/>
              <w:jc w:val="center"/>
              <w:rPr>
                <w:szCs w:val="24"/>
              </w:rPr>
            </w:pPr>
            <w:r>
              <w:rPr>
                <w:szCs w:val="24"/>
              </w:rPr>
              <w:t>1.12</w:t>
            </w:r>
          </w:p>
        </w:tc>
        <w:tc>
          <w:tcPr>
            <w:tcW w:w="816" w:type="pct"/>
            <w:tcBorders>
              <w:top w:val="nil"/>
              <w:left w:val="nil"/>
              <w:bottom w:val="nil"/>
              <w:right w:val="nil"/>
            </w:tcBorders>
          </w:tcPr>
          <w:p w14:paraId="2D6191AE" w14:textId="77777777" w:rsidR="00377443" w:rsidRDefault="00377443" w:rsidP="000972AF">
            <w:pPr>
              <w:widowControl w:val="0"/>
              <w:autoSpaceDE w:val="0"/>
              <w:autoSpaceDN w:val="0"/>
              <w:adjustRightInd w:val="0"/>
              <w:spacing w:after="0" w:line="240" w:lineRule="auto"/>
              <w:jc w:val="center"/>
              <w:rPr>
                <w:szCs w:val="24"/>
              </w:rPr>
            </w:pPr>
            <w:r>
              <w:rPr>
                <w:szCs w:val="24"/>
              </w:rPr>
              <w:t>1.18</w:t>
            </w:r>
          </w:p>
        </w:tc>
        <w:tc>
          <w:tcPr>
            <w:tcW w:w="617" w:type="pct"/>
            <w:tcBorders>
              <w:top w:val="nil"/>
              <w:left w:val="nil"/>
              <w:bottom w:val="nil"/>
              <w:right w:val="nil"/>
            </w:tcBorders>
          </w:tcPr>
          <w:p w14:paraId="131E96AE" w14:textId="77777777" w:rsidR="00377443" w:rsidRDefault="00377443" w:rsidP="000972AF">
            <w:pPr>
              <w:widowControl w:val="0"/>
              <w:autoSpaceDE w:val="0"/>
              <w:autoSpaceDN w:val="0"/>
              <w:adjustRightInd w:val="0"/>
              <w:spacing w:after="0" w:line="240" w:lineRule="auto"/>
              <w:jc w:val="center"/>
              <w:rPr>
                <w:szCs w:val="24"/>
              </w:rPr>
            </w:pPr>
            <w:r>
              <w:rPr>
                <w:szCs w:val="24"/>
              </w:rPr>
              <w:t>0.91</w:t>
            </w:r>
          </w:p>
        </w:tc>
        <w:tc>
          <w:tcPr>
            <w:tcW w:w="811" w:type="pct"/>
            <w:tcBorders>
              <w:top w:val="nil"/>
              <w:left w:val="nil"/>
              <w:bottom w:val="nil"/>
              <w:right w:val="nil"/>
            </w:tcBorders>
          </w:tcPr>
          <w:p w14:paraId="17875C38" w14:textId="77777777" w:rsidR="00377443" w:rsidRDefault="00377443" w:rsidP="000972AF">
            <w:pPr>
              <w:widowControl w:val="0"/>
              <w:autoSpaceDE w:val="0"/>
              <w:autoSpaceDN w:val="0"/>
              <w:adjustRightInd w:val="0"/>
              <w:spacing w:after="0" w:line="240" w:lineRule="auto"/>
              <w:jc w:val="center"/>
              <w:rPr>
                <w:szCs w:val="24"/>
              </w:rPr>
            </w:pPr>
            <w:r>
              <w:rPr>
                <w:szCs w:val="24"/>
              </w:rPr>
              <w:t>1.02</w:t>
            </w:r>
          </w:p>
        </w:tc>
        <w:tc>
          <w:tcPr>
            <w:tcW w:w="608" w:type="pct"/>
            <w:tcBorders>
              <w:top w:val="nil"/>
              <w:left w:val="nil"/>
              <w:bottom w:val="nil"/>
              <w:right w:val="nil"/>
            </w:tcBorders>
          </w:tcPr>
          <w:p w14:paraId="3EE97D00" w14:textId="77777777" w:rsidR="00377443" w:rsidRDefault="00377443" w:rsidP="000972AF">
            <w:pPr>
              <w:widowControl w:val="0"/>
              <w:autoSpaceDE w:val="0"/>
              <w:autoSpaceDN w:val="0"/>
              <w:adjustRightInd w:val="0"/>
              <w:spacing w:after="0" w:line="240" w:lineRule="auto"/>
              <w:jc w:val="center"/>
              <w:rPr>
                <w:szCs w:val="24"/>
              </w:rPr>
            </w:pPr>
            <w:r>
              <w:rPr>
                <w:szCs w:val="24"/>
              </w:rPr>
              <w:t>1.02</w:t>
            </w:r>
          </w:p>
        </w:tc>
      </w:tr>
      <w:tr w:rsidR="00377443" w14:paraId="1F1C2BE5" w14:textId="77777777" w:rsidTr="000972AF">
        <w:trPr>
          <w:jc w:val="center"/>
        </w:trPr>
        <w:tc>
          <w:tcPr>
            <w:tcW w:w="1533" w:type="pct"/>
            <w:tcBorders>
              <w:top w:val="nil"/>
              <w:left w:val="nil"/>
              <w:bottom w:val="nil"/>
              <w:right w:val="nil"/>
            </w:tcBorders>
          </w:tcPr>
          <w:p w14:paraId="622572B4" w14:textId="77777777" w:rsidR="00377443" w:rsidRPr="003E6B6C" w:rsidRDefault="00377443" w:rsidP="000972AF">
            <w:pPr>
              <w:keepNext/>
              <w:widowControl w:val="0"/>
              <w:autoSpaceDE w:val="0"/>
              <w:autoSpaceDN w:val="0"/>
              <w:adjustRightInd w:val="0"/>
              <w:spacing w:after="0" w:line="240" w:lineRule="auto"/>
              <w:rPr>
                <w:szCs w:val="24"/>
              </w:rPr>
            </w:pPr>
          </w:p>
        </w:tc>
        <w:tc>
          <w:tcPr>
            <w:tcW w:w="615" w:type="pct"/>
            <w:tcBorders>
              <w:top w:val="nil"/>
              <w:left w:val="nil"/>
              <w:bottom w:val="nil"/>
              <w:right w:val="nil"/>
            </w:tcBorders>
          </w:tcPr>
          <w:p w14:paraId="51AE5C40" w14:textId="77777777" w:rsidR="00377443" w:rsidRDefault="00377443" w:rsidP="000972AF">
            <w:pPr>
              <w:widowControl w:val="0"/>
              <w:autoSpaceDE w:val="0"/>
              <w:autoSpaceDN w:val="0"/>
              <w:adjustRightInd w:val="0"/>
              <w:spacing w:after="0" w:line="240" w:lineRule="auto"/>
              <w:jc w:val="center"/>
              <w:rPr>
                <w:szCs w:val="24"/>
              </w:rPr>
            </w:pPr>
            <w:r>
              <w:rPr>
                <w:szCs w:val="24"/>
              </w:rPr>
              <w:t>(0.11)</w:t>
            </w:r>
          </w:p>
        </w:tc>
        <w:tc>
          <w:tcPr>
            <w:tcW w:w="816" w:type="pct"/>
            <w:tcBorders>
              <w:top w:val="nil"/>
              <w:left w:val="nil"/>
              <w:bottom w:val="nil"/>
              <w:right w:val="nil"/>
            </w:tcBorders>
          </w:tcPr>
          <w:p w14:paraId="2915DC91" w14:textId="77777777" w:rsidR="00377443" w:rsidRDefault="00377443" w:rsidP="000972AF">
            <w:pPr>
              <w:widowControl w:val="0"/>
              <w:autoSpaceDE w:val="0"/>
              <w:autoSpaceDN w:val="0"/>
              <w:adjustRightInd w:val="0"/>
              <w:spacing w:after="0" w:line="240" w:lineRule="auto"/>
              <w:jc w:val="center"/>
              <w:rPr>
                <w:szCs w:val="24"/>
              </w:rPr>
            </w:pPr>
            <w:r>
              <w:rPr>
                <w:szCs w:val="24"/>
              </w:rPr>
              <w:t>(0.13)</w:t>
            </w:r>
          </w:p>
        </w:tc>
        <w:tc>
          <w:tcPr>
            <w:tcW w:w="617" w:type="pct"/>
            <w:tcBorders>
              <w:top w:val="nil"/>
              <w:left w:val="nil"/>
              <w:bottom w:val="nil"/>
              <w:right w:val="nil"/>
            </w:tcBorders>
          </w:tcPr>
          <w:p w14:paraId="46BB6DEF" w14:textId="77777777" w:rsidR="00377443" w:rsidRDefault="00377443" w:rsidP="000972AF">
            <w:pPr>
              <w:widowControl w:val="0"/>
              <w:autoSpaceDE w:val="0"/>
              <w:autoSpaceDN w:val="0"/>
              <w:adjustRightInd w:val="0"/>
              <w:spacing w:after="0" w:line="240" w:lineRule="auto"/>
              <w:jc w:val="center"/>
              <w:rPr>
                <w:szCs w:val="24"/>
              </w:rPr>
            </w:pPr>
            <w:r>
              <w:rPr>
                <w:szCs w:val="24"/>
              </w:rPr>
              <w:t>(0.09)</w:t>
            </w:r>
          </w:p>
        </w:tc>
        <w:tc>
          <w:tcPr>
            <w:tcW w:w="811" w:type="pct"/>
            <w:tcBorders>
              <w:top w:val="nil"/>
              <w:left w:val="nil"/>
              <w:bottom w:val="nil"/>
              <w:right w:val="nil"/>
            </w:tcBorders>
          </w:tcPr>
          <w:p w14:paraId="1F7539B3" w14:textId="77777777" w:rsidR="00377443" w:rsidRDefault="00377443" w:rsidP="000972AF">
            <w:pPr>
              <w:widowControl w:val="0"/>
              <w:autoSpaceDE w:val="0"/>
              <w:autoSpaceDN w:val="0"/>
              <w:adjustRightInd w:val="0"/>
              <w:spacing w:after="0" w:line="240" w:lineRule="auto"/>
              <w:jc w:val="center"/>
              <w:rPr>
                <w:szCs w:val="24"/>
              </w:rPr>
            </w:pPr>
            <w:r>
              <w:rPr>
                <w:szCs w:val="24"/>
              </w:rPr>
              <w:t>(0.10)</w:t>
            </w:r>
          </w:p>
        </w:tc>
        <w:tc>
          <w:tcPr>
            <w:tcW w:w="608" w:type="pct"/>
            <w:tcBorders>
              <w:top w:val="nil"/>
              <w:left w:val="nil"/>
              <w:bottom w:val="nil"/>
              <w:right w:val="nil"/>
            </w:tcBorders>
          </w:tcPr>
          <w:p w14:paraId="6F3353A1" w14:textId="77777777" w:rsidR="00377443" w:rsidRDefault="00377443" w:rsidP="000972AF">
            <w:pPr>
              <w:widowControl w:val="0"/>
              <w:autoSpaceDE w:val="0"/>
              <w:autoSpaceDN w:val="0"/>
              <w:adjustRightInd w:val="0"/>
              <w:spacing w:after="0" w:line="240" w:lineRule="auto"/>
              <w:jc w:val="center"/>
              <w:rPr>
                <w:szCs w:val="24"/>
              </w:rPr>
            </w:pPr>
            <w:r>
              <w:rPr>
                <w:szCs w:val="24"/>
              </w:rPr>
              <w:t>(0.10)</w:t>
            </w:r>
          </w:p>
        </w:tc>
      </w:tr>
      <w:tr w:rsidR="00377443" w14:paraId="0B2A1375" w14:textId="77777777" w:rsidTr="000972AF">
        <w:trPr>
          <w:jc w:val="center"/>
        </w:trPr>
        <w:tc>
          <w:tcPr>
            <w:tcW w:w="1533" w:type="pct"/>
            <w:tcBorders>
              <w:top w:val="nil"/>
              <w:left w:val="nil"/>
              <w:bottom w:val="nil"/>
              <w:right w:val="nil"/>
            </w:tcBorders>
          </w:tcPr>
          <w:p w14:paraId="16CCB2F5" w14:textId="77777777" w:rsidR="00377443" w:rsidRPr="003E6B6C" w:rsidRDefault="00377443" w:rsidP="000972AF">
            <w:pPr>
              <w:keepNext/>
              <w:widowControl w:val="0"/>
              <w:autoSpaceDE w:val="0"/>
              <w:autoSpaceDN w:val="0"/>
              <w:adjustRightInd w:val="0"/>
              <w:spacing w:after="0" w:line="240" w:lineRule="auto"/>
              <w:rPr>
                <w:szCs w:val="24"/>
              </w:rPr>
            </w:pPr>
            <w:r w:rsidRPr="003E6B6C">
              <w:rPr>
                <w:szCs w:val="24"/>
              </w:rPr>
              <w:t>Medium city</w:t>
            </w:r>
          </w:p>
        </w:tc>
        <w:tc>
          <w:tcPr>
            <w:tcW w:w="615" w:type="pct"/>
            <w:tcBorders>
              <w:top w:val="nil"/>
              <w:left w:val="nil"/>
              <w:bottom w:val="nil"/>
              <w:right w:val="nil"/>
            </w:tcBorders>
          </w:tcPr>
          <w:p w14:paraId="45FA0E69" w14:textId="77777777" w:rsidR="00377443" w:rsidRDefault="00377443" w:rsidP="000972AF">
            <w:pPr>
              <w:widowControl w:val="0"/>
              <w:autoSpaceDE w:val="0"/>
              <w:autoSpaceDN w:val="0"/>
              <w:adjustRightInd w:val="0"/>
              <w:spacing w:after="0" w:line="240" w:lineRule="auto"/>
              <w:jc w:val="center"/>
              <w:rPr>
                <w:szCs w:val="24"/>
              </w:rPr>
            </w:pPr>
            <w:r>
              <w:rPr>
                <w:szCs w:val="24"/>
              </w:rPr>
              <w:t>1.28*</w:t>
            </w:r>
          </w:p>
        </w:tc>
        <w:tc>
          <w:tcPr>
            <w:tcW w:w="816" w:type="pct"/>
            <w:tcBorders>
              <w:top w:val="nil"/>
              <w:left w:val="nil"/>
              <w:bottom w:val="nil"/>
              <w:right w:val="nil"/>
            </w:tcBorders>
          </w:tcPr>
          <w:p w14:paraId="2507AED5" w14:textId="77777777" w:rsidR="00377443" w:rsidRDefault="00377443" w:rsidP="000972AF">
            <w:pPr>
              <w:widowControl w:val="0"/>
              <w:autoSpaceDE w:val="0"/>
              <w:autoSpaceDN w:val="0"/>
              <w:adjustRightInd w:val="0"/>
              <w:spacing w:after="0" w:line="240" w:lineRule="auto"/>
              <w:jc w:val="center"/>
              <w:rPr>
                <w:szCs w:val="24"/>
              </w:rPr>
            </w:pPr>
            <w:r>
              <w:rPr>
                <w:szCs w:val="24"/>
              </w:rPr>
              <w:t>1.31*</w:t>
            </w:r>
          </w:p>
        </w:tc>
        <w:tc>
          <w:tcPr>
            <w:tcW w:w="617" w:type="pct"/>
            <w:tcBorders>
              <w:top w:val="nil"/>
              <w:left w:val="nil"/>
              <w:bottom w:val="nil"/>
              <w:right w:val="nil"/>
            </w:tcBorders>
          </w:tcPr>
          <w:p w14:paraId="32CAEF4E" w14:textId="77777777" w:rsidR="00377443" w:rsidRDefault="00377443" w:rsidP="000972AF">
            <w:pPr>
              <w:widowControl w:val="0"/>
              <w:autoSpaceDE w:val="0"/>
              <w:autoSpaceDN w:val="0"/>
              <w:adjustRightInd w:val="0"/>
              <w:spacing w:after="0" w:line="240" w:lineRule="auto"/>
              <w:jc w:val="center"/>
              <w:rPr>
                <w:szCs w:val="24"/>
              </w:rPr>
            </w:pPr>
            <w:r>
              <w:rPr>
                <w:szCs w:val="24"/>
              </w:rPr>
              <w:t>1.05</w:t>
            </w:r>
          </w:p>
        </w:tc>
        <w:tc>
          <w:tcPr>
            <w:tcW w:w="811" w:type="pct"/>
            <w:tcBorders>
              <w:top w:val="nil"/>
              <w:left w:val="nil"/>
              <w:bottom w:val="nil"/>
              <w:right w:val="nil"/>
            </w:tcBorders>
          </w:tcPr>
          <w:p w14:paraId="2E4B5994" w14:textId="77777777" w:rsidR="00377443" w:rsidRDefault="00377443" w:rsidP="000972AF">
            <w:pPr>
              <w:widowControl w:val="0"/>
              <w:autoSpaceDE w:val="0"/>
              <w:autoSpaceDN w:val="0"/>
              <w:adjustRightInd w:val="0"/>
              <w:spacing w:after="0" w:line="240" w:lineRule="auto"/>
              <w:jc w:val="center"/>
              <w:rPr>
                <w:szCs w:val="24"/>
              </w:rPr>
            </w:pPr>
            <w:r>
              <w:rPr>
                <w:szCs w:val="24"/>
              </w:rPr>
              <w:t>1.09</w:t>
            </w:r>
          </w:p>
        </w:tc>
        <w:tc>
          <w:tcPr>
            <w:tcW w:w="608" w:type="pct"/>
            <w:tcBorders>
              <w:top w:val="nil"/>
              <w:left w:val="nil"/>
              <w:bottom w:val="nil"/>
              <w:right w:val="nil"/>
            </w:tcBorders>
          </w:tcPr>
          <w:p w14:paraId="1BB85F3B" w14:textId="77777777" w:rsidR="00377443" w:rsidRDefault="00377443" w:rsidP="000972AF">
            <w:pPr>
              <w:widowControl w:val="0"/>
              <w:autoSpaceDE w:val="0"/>
              <w:autoSpaceDN w:val="0"/>
              <w:adjustRightInd w:val="0"/>
              <w:spacing w:after="0" w:line="240" w:lineRule="auto"/>
              <w:jc w:val="center"/>
              <w:rPr>
                <w:szCs w:val="24"/>
              </w:rPr>
            </w:pPr>
            <w:r>
              <w:rPr>
                <w:szCs w:val="24"/>
              </w:rPr>
              <w:t>1.12</w:t>
            </w:r>
          </w:p>
        </w:tc>
      </w:tr>
      <w:tr w:rsidR="00377443" w14:paraId="3D4ED53C" w14:textId="77777777" w:rsidTr="000972AF">
        <w:trPr>
          <w:jc w:val="center"/>
        </w:trPr>
        <w:tc>
          <w:tcPr>
            <w:tcW w:w="1533" w:type="pct"/>
            <w:tcBorders>
              <w:top w:val="nil"/>
              <w:left w:val="nil"/>
              <w:bottom w:val="nil"/>
              <w:right w:val="nil"/>
            </w:tcBorders>
          </w:tcPr>
          <w:p w14:paraId="68392BBE" w14:textId="77777777" w:rsidR="00377443" w:rsidRPr="003E6B6C" w:rsidRDefault="00377443" w:rsidP="000972AF">
            <w:pPr>
              <w:keepNext/>
              <w:widowControl w:val="0"/>
              <w:autoSpaceDE w:val="0"/>
              <w:autoSpaceDN w:val="0"/>
              <w:adjustRightInd w:val="0"/>
              <w:spacing w:after="0" w:line="240" w:lineRule="auto"/>
              <w:rPr>
                <w:szCs w:val="24"/>
              </w:rPr>
            </w:pPr>
          </w:p>
        </w:tc>
        <w:tc>
          <w:tcPr>
            <w:tcW w:w="615" w:type="pct"/>
            <w:tcBorders>
              <w:top w:val="nil"/>
              <w:left w:val="nil"/>
              <w:bottom w:val="nil"/>
              <w:right w:val="nil"/>
            </w:tcBorders>
          </w:tcPr>
          <w:p w14:paraId="745019B9" w14:textId="77777777" w:rsidR="00377443" w:rsidRDefault="00377443" w:rsidP="000972AF">
            <w:pPr>
              <w:widowControl w:val="0"/>
              <w:autoSpaceDE w:val="0"/>
              <w:autoSpaceDN w:val="0"/>
              <w:adjustRightInd w:val="0"/>
              <w:spacing w:after="0" w:line="240" w:lineRule="auto"/>
              <w:jc w:val="center"/>
              <w:rPr>
                <w:szCs w:val="24"/>
              </w:rPr>
            </w:pPr>
            <w:r>
              <w:rPr>
                <w:szCs w:val="24"/>
              </w:rPr>
              <w:t>(0.14)</w:t>
            </w:r>
          </w:p>
        </w:tc>
        <w:tc>
          <w:tcPr>
            <w:tcW w:w="816" w:type="pct"/>
            <w:tcBorders>
              <w:top w:val="nil"/>
              <w:left w:val="nil"/>
              <w:bottom w:val="nil"/>
              <w:right w:val="nil"/>
            </w:tcBorders>
          </w:tcPr>
          <w:p w14:paraId="3FF7B828" w14:textId="77777777" w:rsidR="00377443" w:rsidRDefault="00377443" w:rsidP="000972AF">
            <w:pPr>
              <w:widowControl w:val="0"/>
              <w:autoSpaceDE w:val="0"/>
              <w:autoSpaceDN w:val="0"/>
              <w:adjustRightInd w:val="0"/>
              <w:spacing w:after="0" w:line="240" w:lineRule="auto"/>
              <w:jc w:val="center"/>
              <w:rPr>
                <w:szCs w:val="24"/>
              </w:rPr>
            </w:pPr>
            <w:r>
              <w:rPr>
                <w:szCs w:val="24"/>
              </w:rPr>
              <w:t>(0.16)</w:t>
            </w:r>
          </w:p>
        </w:tc>
        <w:tc>
          <w:tcPr>
            <w:tcW w:w="617" w:type="pct"/>
            <w:tcBorders>
              <w:top w:val="nil"/>
              <w:left w:val="nil"/>
              <w:bottom w:val="nil"/>
              <w:right w:val="nil"/>
            </w:tcBorders>
          </w:tcPr>
          <w:p w14:paraId="1D60AA61" w14:textId="77777777" w:rsidR="00377443" w:rsidRDefault="00377443" w:rsidP="000972AF">
            <w:pPr>
              <w:widowControl w:val="0"/>
              <w:autoSpaceDE w:val="0"/>
              <w:autoSpaceDN w:val="0"/>
              <w:adjustRightInd w:val="0"/>
              <w:spacing w:after="0" w:line="240" w:lineRule="auto"/>
              <w:jc w:val="center"/>
              <w:rPr>
                <w:szCs w:val="24"/>
              </w:rPr>
            </w:pPr>
            <w:r>
              <w:rPr>
                <w:szCs w:val="24"/>
              </w:rPr>
              <w:t>(0.11)</w:t>
            </w:r>
          </w:p>
        </w:tc>
        <w:tc>
          <w:tcPr>
            <w:tcW w:w="811" w:type="pct"/>
            <w:tcBorders>
              <w:top w:val="nil"/>
              <w:left w:val="nil"/>
              <w:bottom w:val="nil"/>
              <w:right w:val="nil"/>
            </w:tcBorders>
          </w:tcPr>
          <w:p w14:paraId="20750888" w14:textId="77777777" w:rsidR="00377443" w:rsidRDefault="00377443" w:rsidP="000972AF">
            <w:pPr>
              <w:widowControl w:val="0"/>
              <w:autoSpaceDE w:val="0"/>
              <w:autoSpaceDN w:val="0"/>
              <w:adjustRightInd w:val="0"/>
              <w:spacing w:after="0" w:line="240" w:lineRule="auto"/>
              <w:jc w:val="center"/>
              <w:rPr>
                <w:szCs w:val="24"/>
              </w:rPr>
            </w:pPr>
            <w:r>
              <w:rPr>
                <w:szCs w:val="24"/>
              </w:rPr>
              <w:t>(0.12)</w:t>
            </w:r>
          </w:p>
        </w:tc>
        <w:tc>
          <w:tcPr>
            <w:tcW w:w="608" w:type="pct"/>
            <w:tcBorders>
              <w:top w:val="nil"/>
              <w:left w:val="nil"/>
              <w:bottom w:val="nil"/>
              <w:right w:val="nil"/>
            </w:tcBorders>
          </w:tcPr>
          <w:p w14:paraId="44D51336" w14:textId="77777777" w:rsidR="00377443" w:rsidRDefault="00377443" w:rsidP="000972AF">
            <w:pPr>
              <w:widowControl w:val="0"/>
              <w:autoSpaceDE w:val="0"/>
              <w:autoSpaceDN w:val="0"/>
              <w:adjustRightInd w:val="0"/>
              <w:spacing w:after="0" w:line="240" w:lineRule="auto"/>
              <w:jc w:val="center"/>
              <w:rPr>
                <w:szCs w:val="24"/>
              </w:rPr>
            </w:pPr>
            <w:r>
              <w:rPr>
                <w:szCs w:val="24"/>
              </w:rPr>
              <w:t>(0.12)</w:t>
            </w:r>
          </w:p>
        </w:tc>
      </w:tr>
      <w:tr w:rsidR="00377443" w14:paraId="03A4B868" w14:textId="77777777" w:rsidTr="000972AF">
        <w:trPr>
          <w:jc w:val="center"/>
        </w:trPr>
        <w:tc>
          <w:tcPr>
            <w:tcW w:w="1533" w:type="pct"/>
            <w:tcBorders>
              <w:top w:val="nil"/>
              <w:left w:val="nil"/>
              <w:bottom w:val="nil"/>
              <w:right w:val="nil"/>
            </w:tcBorders>
          </w:tcPr>
          <w:p w14:paraId="145737BD" w14:textId="77777777" w:rsidR="00377443" w:rsidRPr="003E6B6C" w:rsidRDefault="00377443" w:rsidP="000972AF">
            <w:pPr>
              <w:keepNext/>
              <w:widowControl w:val="0"/>
              <w:autoSpaceDE w:val="0"/>
              <w:autoSpaceDN w:val="0"/>
              <w:adjustRightInd w:val="0"/>
              <w:spacing w:after="0" w:line="240" w:lineRule="auto"/>
              <w:rPr>
                <w:szCs w:val="24"/>
              </w:rPr>
            </w:pPr>
            <w:r w:rsidRPr="003E6B6C">
              <w:rPr>
                <w:szCs w:val="24"/>
              </w:rPr>
              <w:t>Big city</w:t>
            </w:r>
          </w:p>
        </w:tc>
        <w:tc>
          <w:tcPr>
            <w:tcW w:w="615" w:type="pct"/>
            <w:tcBorders>
              <w:top w:val="nil"/>
              <w:left w:val="nil"/>
              <w:bottom w:val="nil"/>
              <w:right w:val="nil"/>
            </w:tcBorders>
          </w:tcPr>
          <w:p w14:paraId="71021870" w14:textId="77777777" w:rsidR="00377443" w:rsidRDefault="00377443" w:rsidP="000972AF">
            <w:pPr>
              <w:widowControl w:val="0"/>
              <w:autoSpaceDE w:val="0"/>
              <w:autoSpaceDN w:val="0"/>
              <w:adjustRightInd w:val="0"/>
              <w:spacing w:after="0" w:line="240" w:lineRule="auto"/>
              <w:jc w:val="center"/>
              <w:rPr>
                <w:szCs w:val="24"/>
              </w:rPr>
            </w:pPr>
            <w:r>
              <w:rPr>
                <w:szCs w:val="24"/>
              </w:rPr>
              <w:t>1.11</w:t>
            </w:r>
          </w:p>
        </w:tc>
        <w:tc>
          <w:tcPr>
            <w:tcW w:w="816" w:type="pct"/>
            <w:tcBorders>
              <w:top w:val="nil"/>
              <w:left w:val="nil"/>
              <w:bottom w:val="nil"/>
              <w:right w:val="nil"/>
            </w:tcBorders>
          </w:tcPr>
          <w:p w14:paraId="7870652A" w14:textId="77777777" w:rsidR="00377443" w:rsidRDefault="00377443" w:rsidP="000972AF">
            <w:pPr>
              <w:widowControl w:val="0"/>
              <w:autoSpaceDE w:val="0"/>
              <w:autoSpaceDN w:val="0"/>
              <w:adjustRightInd w:val="0"/>
              <w:spacing w:after="0" w:line="240" w:lineRule="auto"/>
              <w:jc w:val="center"/>
              <w:rPr>
                <w:szCs w:val="24"/>
              </w:rPr>
            </w:pPr>
            <w:r>
              <w:rPr>
                <w:szCs w:val="24"/>
              </w:rPr>
              <w:t>1.09</w:t>
            </w:r>
          </w:p>
        </w:tc>
        <w:tc>
          <w:tcPr>
            <w:tcW w:w="617" w:type="pct"/>
            <w:tcBorders>
              <w:top w:val="nil"/>
              <w:left w:val="nil"/>
              <w:bottom w:val="nil"/>
              <w:right w:val="nil"/>
            </w:tcBorders>
          </w:tcPr>
          <w:p w14:paraId="0AE5EC6E" w14:textId="77777777" w:rsidR="00377443" w:rsidRDefault="00377443" w:rsidP="000972AF">
            <w:pPr>
              <w:widowControl w:val="0"/>
              <w:autoSpaceDE w:val="0"/>
              <w:autoSpaceDN w:val="0"/>
              <w:adjustRightInd w:val="0"/>
              <w:spacing w:after="0" w:line="240" w:lineRule="auto"/>
              <w:jc w:val="center"/>
              <w:rPr>
                <w:szCs w:val="24"/>
              </w:rPr>
            </w:pPr>
            <w:r>
              <w:rPr>
                <w:szCs w:val="24"/>
              </w:rPr>
              <w:t>0.81+</w:t>
            </w:r>
          </w:p>
        </w:tc>
        <w:tc>
          <w:tcPr>
            <w:tcW w:w="811" w:type="pct"/>
            <w:tcBorders>
              <w:top w:val="nil"/>
              <w:left w:val="nil"/>
              <w:bottom w:val="nil"/>
              <w:right w:val="nil"/>
            </w:tcBorders>
          </w:tcPr>
          <w:p w14:paraId="31ABE84A" w14:textId="77777777" w:rsidR="00377443" w:rsidRDefault="00377443" w:rsidP="000972AF">
            <w:pPr>
              <w:widowControl w:val="0"/>
              <w:autoSpaceDE w:val="0"/>
              <w:autoSpaceDN w:val="0"/>
              <w:adjustRightInd w:val="0"/>
              <w:spacing w:after="0" w:line="240" w:lineRule="auto"/>
              <w:jc w:val="center"/>
              <w:rPr>
                <w:szCs w:val="24"/>
              </w:rPr>
            </w:pPr>
            <w:r>
              <w:rPr>
                <w:szCs w:val="24"/>
              </w:rPr>
              <w:t>0.89</w:t>
            </w:r>
          </w:p>
        </w:tc>
        <w:tc>
          <w:tcPr>
            <w:tcW w:w="608" w:type="pct"/>
            <w:tcBorders>
              <w:top w:val="nil"/>
              <w:left w:val="nil"/>
              <w:bottom w:val="nil"/>
              <w:right w:val="nil"/>
            </w:tcBorders>
          </w:tcPr>
          <w:p w14:paraId="2AFB3ECB" w14:textId="77777777" w:rsidR="00377443" w:rsidRDefault="00377443" w:rsidP="000972AF">
            <w:pPr>
              <w:widowControl w:val="0"/>
              <w:autoSpaceDE w:val="0"/>
              <w:autoSpaceDN w:val="0"/>
              <w:adjustRightInd w:val="0"/>
              <w:spacing w:after="0" w:line="240" w:lineRule="auto"/>
              <w:jc w:val="center"/>
              <w:rPr>
                <w:szCs w:val="24"/>
              </w:rPr>
            </w:pPr>
            <w:r>
              <w:rPr>
                <w:szCs w:val="24"/>
              </w:rPr>
              <w:t>0.98</w:t>
            </w:r>
          </w:p>
        </w:tc>
      </w:tr>
      <w:tr w:rsidR="00377443" w14:paraId="429B3E65" w14:textId="77777777" w:rsidTr="000972AF">
        <w:trPr>
          <w:jc w:val="center"/>
        </w:trPr>
        <w:tc>
          <w:tcPr>
            <w:tcW w:w="1533" w:type="pct"/>
            <w:tcBorders>
              <w:top w:val="nil"/>
              <w:left w:val="nil"/>
              <w:bottom w:val="nil"/>
              <w:right w:val="nil"/>
            </w:tcBorders>
          </w:tcPr>
          <w:p w14:paraId="61432C45" w14:textId="77777777" w:rsidR="00377443" w:rsidRPr="003E6B6C" w:rsidRDefault="00377443" w:rsidP="000972AF">
            <w:pPr>
              <w:keepNext/>
              <w:widowControl w:val="0"/>
              <w:autoSpaceDE w:val="0"/>
              <w:autoSpaceDN w:val="0"/>
              <w:adjustRightInd w:val="0"/>
              <w:spacing w:after="0" w:line="240" w:lineRule="auto"/>
              <w:rPr>
                <w:szCs w:val="24"/>
              </w:rPr>
            </w:pPr>
          </w:p>
        </w:tc>
        <w:tc>
          <w:tcPr>
            <w:tcW w:w="615" w:type="pct"/>
            <w:tcBorders>
              <w:top w:val="nil"/>
              <w:left w:val="nil"/>
              <w:bottom w:val="nil"/>
              <w:right w:val="nil"/>
            </w:tcBorders>
          </w:tcPr>
          <w:p w14:paraId="69063FA3" w14:textId="77777777" w:rsidR="00377443" w:rsidRDefault="00377443" w:rsidP="000972AF">
            <w:pPr>
              <w:widowControl w:val="0"/>
              <w:autoSpaceDE w:val="0"/>
              <w:autoSpaceDN w:val="0"/>
              <w:adjustRightInd w:val="0"/>
              <w:spacing w:after="0" w:line="240" w:lineRule="auto"/>
              <w:jc w:val="center"/>
              <w:rPr>
                <w:szCs w:val="24"/>
              </w:rPr>
            </w:pPr>
            <w:r>
              <w:rPr>
                <w:szCs w:val="24"/>
              </w:rPr>
              <w:t>(0.13)</w:t>
            </w:r>
          </w:p>
        </w:tc>
        <w:tc>
          <w:tcPr>
            <w:tcW w:w="816" w:type="pct"/>
            <w:tcBorders>
              <w:top w:val="nil"/>
              <w:left w:val="nil"/>
              <w:bottom w:val="nil"/>
              <w:right w:val="nil"/>
            </w:tcBorders>
          </w:tcPr>
          <w:p w14:paraId="2FC4319F" w14:textId="77777777" w:rsidR="00377443" w:rsidRDefault="00377443" w:rsidP="000972AF">
            <w:pPr>
              <w:widowControl w:val="0"/>
              <w:autoSpaceDE w:val="0"/>
              <w:autoSpaceDN w:val="0"/>
              <w:adjustRightInd w:val="0"/>
              <w:spacing w:after="0" w:line="240" w:lineRule="auto"/>
              <w:jc w:val="center"/>
              <w:rPr>
                <w:szCs w:val="24"/>
              </w:rPr>
            </w:pPr>
            <w:r>
              <w:rPr>
                <w:szCs w:val="24"/>
              </w:rPr>
              <w:t>(0.14)</w:t>
            </w:r>
          </w:p>
        </w:tc>
        <w:tc>
          <w:tcPr>
            <w:tcW w:w="617" w:type="pct"/>
            <w:tcBorders>
              <w:top w:val="nil"/>
              <w:left w:val="nil"/>
              <w:bottom w:val="nil"/>
              <w:right w:val="nil"/>
            </w:tcBorders>
          </w:tcPr>
          <w:p w14:paraId="14B07FB3" w14:textId="77777777" w:rsidR="00377443" w:rsidRDefault="00377443" w:rsidP="000972AF">
            <w:pPr>
              <w:widowControl w:val="0"/>
              <w:autoSpaceDE w:val="0"/>
              <w:autoSpaceDN w:val="0"/>
              <w:adjustRightInd w:val="0"/>
              <w:spacing w:after="0" w:line="240" w:lineRule="auto"/>
              <w:jc w:val="center"/>
              <w:rPr>
                <w:szCs w:val="24"/>
              </w:rPr>
            </w:pPr>
            <w:r>
              <w:rPr>
                <w:szCs w:val="24"/>
              </w:rPr>
              <w:t>(0.09)</w:t>
            </w:r>
          </w:p>
        </w:tc>
        <w:tc>
          <w:tcPr>
            <w:tcW w:w="811" w:type="pct"/>
            <w:tcBorders>
              <w:top w:val="nil"/>
              <w:left w:val="nil"/>
              <w:bottom w:val="nil"/>
              <w:right w:val="nil"/>
            </w:tcBorders>
          </w:tcPr>
          <w:p w14:paraId="521FAED2" w14:textId="77777777" w:rsidR="00377443" w:rsidRDefault="00377443" w:rsidP="000972AF">
            <w:pPr>
              <w:widowControl w:val="0"/>
              <w:autoSpaceDE w:val="0"/>
              <w:autoSpaceDN w:val="0"/>
              <w:adjustRightInd w:val="0"/>
              <w:spacing w:after="0" w:line="240" w:lineRule="auto"/>
              <w:jc w:val="center"/>
              <w:rPr>
                <w:szCs w:val="24"/>
              </w:rPr>
            </w:pPr>
            <w:r>
              <w:rPr>
                <w:szCs w:val="24"/>
              </w:rPr>
              <w:t>(0.10)</w:t>
            </w:r>
          </w:p>
        </w:tc>
        <w:tc>
          <w:tcPr>
            <w:tcW w:w="608" w:type="pct"/>
            <w:tcBorders>
              <w:top w:val="nil"/>
              <w:left w:val="nil"/>
              <w:bottom w:val="nil"/>
              <w:right w:val="nil"/>
            </w:tcBorders>
          </w:tcPr>
          <w:p w14:paraId="2482A25B" w14:textId="77777777" w:rsidR="00377443" w:rsidRDefault="00377443" w:rsidP="000972AF">
            <w:pPr>
              <w:widowControl w:val="0"/>
              <w:autoSpaceDE w:val="0"/>
              <w:autoSpaceDN w:val="0"/>
              <w:adjustRightInd w:val="0"/>
              <w:spacing w:after="0" w:line="240" w:lineRule="auto"/>
              <w:jc w:val="center"/>
              <w:rPr>
                <w:szCs w:val="24"/>
              </w:rPr>
            </w:pPr>
            <w:r>
              <w:rPr>
                <w:szCs w:val="24"/>
              </w:rPr>
              <w:t>(0.11)</w:t>
            </w:r>
          </w:p>
        </w:tc>
      </w:tr>
      <w:tr w:rsidR="00377443" w14:paraId="2879666C" w14:textId="77777777" w:rsidTr="000972AF">
        <w:trPr>
          <w:jc w:val="center"/>
        </w:trPr>
        <w:tc>
          <w:tcPr>
            <w:tcW w:w="1533" w:type="pct"/>
            <w:tcBorders>
              <w:top w:val="nil"/>
              <w:left w:val="nil"/>
              <w:bottom w:val="nil"/>
              <w:right w:val="nil"/>
            </w:tcBorders>
          </w:tcPr>
          <w:p w14:paraId="58B59184" w14:textId="77777777" w:rsidR="00377443" w:rsidRPr="003E6B6C" w:rsidRDefault="00377443" w:rsidP="000972AF">
            <w:pPr>
              <w:keepNext/>
              <w:widowControl w:val="0"/>
              <w:autoSpaceDE w:val="0"/>
              <w:autoSpaceDN w:val="0"/>
              <w:adjustRightInd w:val="0"/>
              <w:spacing w:after="0" w:line="240" w:lineRule="auto"/>
              <w:rPr>
                <w:szCs w:val="24"/>
              </w:rPr>
            </w:pPr>
            <w:r w:rsidRPr="003E6B6C">
              <w:rPr>
                <w:szCs w:val="24"/>
              </w:rPr>
              <w:t>Log no. of employees</w:t>
            </w:r>
          </w:p>
        </w:tc>
        <w:tc>
          <w:tcPr>
            <w:tcW w:w="615" w:type="pct"/>
            <w:tcBorders>
              <w:top w:val="nil"/>
              <w:left w:val="nil"/>
              <w:bottom w:val="nil"/>
              <w:right w:val="nil"/>
            </w:tcBorders>
          </w:tcPr>
          <w:p w14:paraId="489C5336" w14:textId="77777777" w:rsidR="00377443" w:rsidRDefault="00377443" w:rsidP="000972AF">
            <w:pPr>
              <w:widowControl w:val="0"/>
              <w:autoSpaceDE w:val="0"/>
              <w:autoSpaceDN w:val="0"/>
              <w:adjustRightInd w:val="0"/>
              <w:spacing w:after="0" w:line="240" w:lineRule="auto"/>
              <w:jc w:val="center"/>
              <w:rPr>
                <w:szCs w:val="24"/>
              </w:rPr>
            </w:pPr>
            <w:r>
              <w:rPr>
                <w:szCs w:val="24"/>
              </w:rPr>
              <w:t>1.10***</w:t>
            </w:r>
          </w:p>
        </w:tc>
        <w:tc>
          <w:tcPr>
            <w:tcW w:w="816" w:type="pct"/>
            <w:tcBorders>
              <w:top w:val="nil"/>
              <w:left w:val="nil"/>
              <w:bottom w:val="nil"/>
              <w:right w:val="nil"/>
            </w:tcBorders>
          </w:tcPr>
          <w:p w14:paraId="30312BCA" w14:textId="77777777" w:rsidR="00377443" w:rsidRDefault="00377443" w:rsidP="000972AF">
            <w:pPr>
              <w:widowControl w:val="0"/>
              <w:autoSpaceDE w:val="0"/>
              <w:autoSpaceDN w:val="0"/>
              <w:adjustRightInd w:val="0"/>
              <w:spacing w:after="0" w:line="240" w:lineRule="auto"/>
              <w:jc w:val="center"/>
              <w:rPr>
                <w:szCs w:val="24"/>
              </w:rPr>
            </w:pPr>
            <w:r>
              <w:rPr>
                <w:szCs w:val="24"/>
              </w:rPr>
              <w:t>1.09**</w:t>
            </w:r>
          </w:p>
        </w:tc>
        <w:tc>
          <w:tcPr>
            <w:tcW w:w="617" w:type="pct"/>
            <w:tcBorders>
              <w:top w:val="nil"/>
              <w:left w:val="nil"/>
              <w:bottom w:val="nil"/>
              <w:right w:val="nil"/>
            </w:tcBorders>
          </w:tcPr>
          <w:p w14:paraId="6969B0CF" w14:textId="77777777" w:rsidR="00377443" w:rsidRDefault="00377443" w:rsidP="000972AF">
            <w:pPr>
              <w:widowControl w:val="0"/>
              <w:autoSpaceDE w:val="0"/>
              <w:autoSpaceDN w:val="0"/>
              <w:adjustRightInd w:val="0"/>
              <w:spacing w:after="0" w:line="240" w:lineRule="auto"/>
              <w:jc w:val="center"/>
              <w:rPr>
                <w:szCs w:val="24"/>
              </w:rPr>
            </w:pPr>
            <w:r>
              <w:rPr>
                <w:szCs w:val="24"/>
              </w:rPr>
              <w:t>1.15***</w:t>
            </w:r>
          </w:p>
        </w:tc>
        <w:tc>
          <w:tcPr>
            <w:tcW w:w="811" w:type="pct"/>
            <w:tcBorders>
              <w:top w:val="nil"/>
              <w:left w:val="nil"/>
              <w:bottom w:val="nil"/>
              <w:right w:val="nil"/>
            </w:tcBorders>
          </w:tcPr>
          <w:p w14:paraId="16B0D988" w14:textId="77777777" w:rsidR="00377443" w:rsidRDefault="00377443" w:rsidP="000972AF">
            <w:pPr>
              <w:widowControl w:val="0"/>
              <w:autoSpaceDE w:val="0"/>
              <w:autoSpaceDN w:val="0"/>
              <w:adjustRightInd w:val="0"/>
              <w:spacing w:after="0" w:line="240" w:lineRule="auto"/>
              <w:jc w:val="center"/>
              <w:rPr>
                <w:szCs w:val="24"/>
              </w:rPr>
            </w:pPr>
            <w:r>
              <w:rPr>
                <w:szCs w:val="24"/>
              </w:rPr>
              <w:t>1.25***</w:t>
            </w:r>
          </w:p>
        </w:tc>
        <w:tc>
          <w:tcPr>
            <w:tcW w:w="608" w:type="pct"/>
            <w:tcBorders>
              <w:top w:val="nil"/>
              <w:left w:val="nil"/>
              <w:bottom w:val="nil"/>
              <w:right w:val="nil"/>
            </w:tcBorders>
          </w:tcPr>
          <w:p w14:paraId="1995F234" w14:textId="77777777" w:rsidR="00377443" w:rsidRDefault="00377443" w:rsidP="000972AF">
            <w:pPr>
              <w:widowControl w:val="0"/>
              <w:autoSpaceDE w:val="0"/>
              <w:autoSpaceDN w:val="0"/>
              <w:adjustRightInd w:val="0"/>
              <w:spacing w:after="0" w:line="240" w:lineRule="auto"/>
              <w:jc w:val="center"/>
              <w:rPr>
                <w:szCs w:val="24"/>
              </w:rPr>
            </w:pPr>
            <w:r>
              <w:rPr>
                <w:szCs w:val="24"/>
              </w:rPr>
              <w:t>1.07*</w:t>
            </w:r>
          </w:p>
        </w:tc>
      </w:tr>
      <w:tr w:rsidR="00377443" w14:paraId="40832F31" w14:textId="77777777" w:rsidTr="000972AF">
        <w:trPr>
          <w:jc w:val="center"/>
        </w:trPr>
        <w:tc>
          <w:tcPr>
            <w:tcW w:w="1533" w:type="pct"/>
            <w:tcBorders>
              <w:top w:val="nil"/>
              <w:left w:val="nil"/>
              <w:bottom w:val="nil"/>
              <w:right w:val="nil"/>
            </w:tcBorders>
          </w:tcPr>
          <w:p w14:paraId="545AF32F" w14:textId="77777777" w:rsidR="00377443" w:rsidRPr="003E6B6C" w:rsidRDefault="00377443" w:rsidP="000972AF">
            <w:pPr>
              <w:keepNext/>
              <w:widowControl w:val="0"/>
              <w:autoSpaceDE w:val="0"/>
              <w:autoSpaceDN w:val="0"/>
              <w:adjustRightInd w:val="0"/>
              <w:spacing w:after="0" w:line="240" w:lineRule="auto"/>
              <w:rPr>
                <w:szCs w:val="24"/>
              </w:rPr>
            </w:pPr>
          </w:p>
        </w:tc>
        <w:tc>
          <w:tcPr>
            <w:tcW w:w="615" w:type="pct"/>
            <w:tcBorders>
              <w:top w:val="nil"/>
              <w:left w:val="nil"/>
              <w:bottom w:val="nil"/>
              <w:right w:val="nil"/>
            </w:tcBorders>
          </w:tcPr>
          <w:p w14:paraId="40302386" w14:textId="77777777" w:rsidR="00377443" w:rsidRDefault="00377443" w:rsidP="000972AF">
            <w:pPr>
              <w:widowControl w:val="0"/>
              <w:autoSpaceDE w:val="0"/>
              <w:autoSpaceDN w:val="0"/>
              <w:adjustRightInd w:val="0"/>
              <w:spacing w:after="0" w:line="240" w:lineRule="auto"/>
              <w:jc w:val="center"/>
              <w:rPr>
                <w:szCs w:val="24"/>
              </w:rPr>
            </w:pPr>
            <w:r>
              <w:rPr>
                <w:szCs w:val="24"/>
              </w:rPr>
              <w:t>(0.03)</w:t>
            </w:r>
          </w:p>
        </w:tc>
        <w:tc>
          <w:tcPr>
            <w:tcW w:w="816" w:type="pct"/>
            <w:tcBorders>
              <w:top w:val="nil"/>
              <w:left w:val="nil"/>
              <w:bottom w:val="nil"/>
              <w:right w:val="nil"/>
            </w:tcBorders>
          </w:tcPr>
          <w:p w14:paraId="11CF902B" w14:textId="77777777" w:rsidR="00377443" w:rsidRDefault="00377443" w:rsidP="000972AF">
            <w:pPr>
              <w:widowControl w:val="0"/>
              <w:autoSpaceDE w:val="0"/>
              <w:autoSpaceDN w:val="0"/>
              <w:adjustRightInd w:val="0"/>
              <w:spacing w:after="0" w:line="240" w:lineRule="auto"/>
              <w:jc w:val="center"/>
              <w:rPr>
                <w:szCs w:val="24"/>
              </w:rPr>
            </w:pPr>
            <w:r>
              <w:rPr>
                <w:szCs w:val="24"/>
              </w:rPr>
              <w:t>(0.04)</w:t>
            </w:r>
          </w:p>
        </w:tc>
        <w:tc>
          <w:tcPr>
            <w:tcW w:w="617" w:type="pct"/>
            <w:tcBorders>
              <w:top w:val="nil"/>
              <w:left w:val="nil"/>
              <w:bottom w:val="nil"/>
              <w:right w:val="nil"/>
            </w:tcBorders>
          </w:tcPr>
          <w:p w14:paraId="62DA75D8" w14:textId="77777777" w:rsidR="00377443" w:rsidRDefault="00377443" w:rsidP="000972AF">
            <w:pPr>
              <w:widowControl w:val="0"/>
              <w:autoSpaceDE w:val="0"/>
              <w:autoSpaceDN w:val="0"/>
              <w:adjustRightInd w:val="0"/>
              <w:spacing w:after="0" w:line="240" w:lineRule="auto"/>
              <w:jc w:val="center"/>
              <w:rPr>
                <w:szCs w:val="24"/>
              </w:rPr>
            </w:pPr>
            <w:r>
              <w:rPr>
                <w:szCs w:val="24"/>
              </w:rPr>
              <w:t>(0.03)</w:t>
            </w:r>
          </w:p>
        </w:tc>
        <w:tc>
          <w:tcPr>
            <w:tcW w:w="811" w:type="pct"/>
            <w:tcBorders>
              <w:top w:val="nil"/>
              <w:left w:val="nil"/>
              <w:bottom w:val="nil"/>
              <w:right w:val="nil"/>
            </w:tcBorders>
          </w:tcPr>
          <w:p w14:paraId="71E7D075" w14:textId="77777777" w:rsidR="00377443" w:rsidRDefault="00377443" w:rsidP="000972AF">
            <w:pPr>
              <w:widowControl w:val="0"/>
              <w:autoSpaceDE w:val="0"/>
              <w:autoSpaceDN w:val="0"/>
              <w:adjustRightInd w:val="0"/>
              <w:spacing w:after="0" w:line="240" w:lineRule="auto"/>
              <w:jc w:val="center"/>
              <w:rPr>
                <w:szCs w:val="24"/>
              </w:rPr>
            </w:pPr>
            <w:r>
              <w:rPr>
                <w:szCs w:val="24"/>
              </w:rPr>
              <w:t>(0.04)</w:t>
            </w:r>
          </w:p>
        </w:tc>
        <w:tc>
          <w:tcPr>
            <w:tcW w:w="608" w:type="pct"/>
            <w:tcBorders>
              <w:top w:val="nil"/>
              <w:left w:val="nil"/>
              <w:bottom w:val="nil"/>
              <w:right w:val="nil"/>
            </w:tcBorders>
          </w:tcPr>
          <w:p w14:paraId="65351568" w14:textId="77777777" w:rsidR="00377443" w:rsidRDefault="00377443" w:rsidP="000972AF">
            <w:pPr>
              <w:widowControl w:val="0"/>
              <w:autoSpaceDE w:val="0"/>
              <w:autoSpaceDN w:val="0"/>
              <w:adjustRightInd w:val="0"/>
              <w:spacing w:after="0" w:line="240" w:lineRule="auto"/>
              <w:jc w:val="center"/>
              <w:rPr>
                <w:szCs w:val="24"/>
              </w:rPr>
            </w:pPr>
            <w:r>
              <w:rPr>
                <w:szCs w:val="24"/>
              </w:rPr>
              <w:t>(0.03)</w:t>
            </w:r>
          </w:p>
        </w:tc>
      </w:tr>
      <w:tr w:rsidR="00377443" w14:paraId="3CBE3082" w14:textId="77777777" w:rsidTr="000972AF">
        <w:trPr>
          <w:jc w:val="center"/>
        </w:trPr>
        <w:tc>
          <w:tcPr>
            <w:tcW w:w="1533" w:type="pct"/>
            <w:tcBorders>
              <w:top w:val="nil"/>
              <w:left w:val="nil"/>
              <w:bottom w:val="nil"/>
              <w:right w:val="nil"/>
            </w:tcBorders>
          </w:tcPr>
          <w:p w14:paraId="03B640AC" w14:textId="77777777" w:rsidR="00377443" w:rsidRPr="003E6B6C" w:rsidRDefault="00377443" w:rsidP="000972AF">
            <w:pPr>
              <w:keepNext/>
              <w:widowControl w:val="0"/>
              <w:autoSpaceDE w:val="0"/>
              <w:autoSpaceDN w:val="0"/>
              <w:adjustRightInd w:val="0"/>
              <w:spacing w:after="0" w:line="240" w:lineRule="auto"/>
              <w:rPr>
                <w:szCs w:val="24"/>
              </w:rPr>
            </w:pPr>
            <w:r w:rsidRPr="003E6B6C">
              <w:rPr>
                <w:szCs w:val="24"/>
              </w:rPr>
              <w:t>Log % of educated employees</w:t>
            </w:r>
          </w:p>
        </w:tc>
        <w:tc>
          <w:tcPr>
            <w:tcW w:w="615" w:type="pct"/>
            <w:tcBorders>
              <w:top w:val="nil"/>
              <w:left w:val="nil"/>
              <w:bottom w:val="nil"/>
              <w:right w:val="nil"/>
            </w:tcBorders>
          </w:tcPr>
          <w:p w14:paraId="01DBC01C" w14:textId="77777777" w:rsidR="00377443" w:rsidRDefault="00377443" w:rsidP="000972AF">
            <w:pPr>
              <w:widowControl w:val="0"/>
              <w:autoSpaceDE w:val="0"/>
              <w:autoSpaceDN w:val="0"/>
              <w:adjustRightInd w:val="0"/>
              <w:spacing w:after="0" w:line="240" w:lineRule="auto"/>
              <w:jc w:val="center"/>
              <w:rPr>
                <w:szCs w:val="24"/>
              </w:rPr>
            </w:pPr>
            <w:r>
              <w:rPr>
                <w:szCs w:val="24"/>
              </w:rPr>
              <w:t>16.31***</w:t>
            </w:r>
          </w:p>
        </w:tc>
        <w:tc>
          <w:tcPr>
            <w:tcW w:w="816" w:type="pct"/>
            <w:tcBorders>
              <w:top w:val="nil"/>
              <w:left w:val="nil"/>
              <w:bottom w:val="nil"/>
              <w:right w:val="nil"/>
            </w:tcBorders>
          </w:tcPr>
          <w:p w14:paraId="6665996F" w14:textId="77777777" w:rsidR="00377443" w:rsidRDefault="00377443" w:rsidP="000972AF">
            <w:pPr>
              <w:widowControl w:val="0"/>
              <w:autoSpaceDE w:val="0"/>
              <w:autoSpaceDN w:val="0"/>
              <w:adjustRightInd w:val="0"/>
              <w:spacing w:after="0" w:line="240" w:lineRule="auto"/>
              <w:jc w:val="center"/>
              <w:rPr>
                <w:szCs w:val="24"/>
              </w:rPr>
            </w:pPr>
            <w:r>
              <w:rPr>
                <w:szCs w:val="24"/>
              </w:rPr>
              <w:t>15.66***</w:t>
            </w:r>
          </w:p>
        </w:tc>
        <w:tc>
          <w:tcPr>
            <w:tcW w:w="617" w:type="pct"/>
            <w:tcBorders>
              <w:top w:val="nil"/>
              <w:left w:val="nil"/>
              <w:bottom w:val="nil"/>
              <w:right w:val="nil"/>
            </w:tcBorders>
          </w:tcPr>
          <w:p w14:paraId="62BC180F" w14:textId="77777777" w:rsidR="00377443" w:rsidRDefault="00377443" w:rsidP="000972AF">
            <w:pPr>
              <w:widowControl w:val="0"/>
              <w:autoSpaceDE w:val="0"/>
              <w:autoSpaceDN w:val="0"/>
              <w:adjustRightInd w:val="0"/>
              <w:spacing w:after="0" w:line="240" w:lineRule="auto"/>
              <w:jc w:val="center"/>
              <w:rPr>
                <w:szCs w:val="24"/>
              </w:rPr>
            </w:pPr>
            <w:r>
              <w:rPr>
                <w:szCs w:val="24"/>
              </w:rPr>
              <w:t>5.38***</w:t>
            </w:r>
          </w:p>
        </w:tc>
        <w:tc>
          <w:tcPr>
            <w:tcW w:w="811" w:type="pct"/>
            <w:tcBorders>
              <w:top w:val="nil"/>
              <w:left w:val="nil"/>
              <w:bottom w:val="nil"/>
              <w:right w:val="nil"/>
            </w:tcBorders>
          </w:tcPr>
          <w:p w14:paraId="64F3D508" w14:textId="77777777" w:rsidR="00377443" w:rsidRDefault="00377443" w:rsidP="000972AF">
            <w:pPr>
              <w:widowControl w:val="0"/>
              <w:autoSpaceDE w:val="0"/>
              <w:autoSpaceDN w:val="0"/>
              <w:adjustRightInd w:val="0"/>
              <w:spacing w:after="0" w:line="240" w:lineRule="auto"/>
              <w:jc w:val="center"/>
              <w:rPr>
                <w:szCs w:val="24"/>
              </w:rPr>
            </w:pPr>
            <w:r>
              <w:rPr>
                <w:szCs w:val="24"/>
              </w:rPr>
              <w:t>4.55***</w:t>
            </w:r>
          </w:p>
        </w:tc>
        <w:tc>
          <w:tcPr>
            <w:tcW w:w="608" w:type="pct"/>
            <w:tcBorders>
              <w:top w:val="nil"/>
              <w:left w:val="nil"/>
              <w:bottom w:val="nil"/>
              <w:right w:val="nil"/>
            </w:tcBorders>
          </w:tcPr>
          <w:p w14:paraId="79408F16" w14:textId="77777777" w:rsidR="00377443" w:rsidRDefault="00377443" w:rsidP="000972AF">
            <w:pPr>
              <w:widowControl w:val="0"/>
              <w:autoSpaceDE w:val="0"/>
              <w:autoSpaceDN w:val="0"/>
              <w:adjustRightInd w:val="0"/>
              <w:spacing w:after="0" w:line="240" w:lineRule="auto"/>
              <w:jc w:val="center"/>
              <w:rPr>
                <w:szCs w:val="24"/>
              </w:rPr>
            </w:pPr>
            <w:r>
              <w:rPr>
                <w:szCs w:val="24"/>
              </w:rPr>
              <w:t>4.46***</w:t>
            </w:r>
          </w:p>
        </w:tc>
      </w:tr>
      <w:tr w:rsidR="00377443" w14:paraId="292025BC" w14:textId="77777777" w:rsidTr="000972AF">
        <w:trPr>
          <w:jc w:val="center"/>
        </w:trPr>
        <w:tc>
          <w:tcPr>
            <w:tcW w:w="1533" w:type="pct"/>
            <w:tcBorders>
              <w:top w:val="nil"/>
              <w:left w:val="nil"/>
              <w:bottom w:val="nil"/>
              <w:right w:val="nil"/>
            </w:tcBorders>
          </w:tcPr>
          <w:p w14:paraId="6757CC42" w14:textId="77777777" w:rsidR="00377443" w:rsidRPr="003E6B6C" w:rsidRDefault="00377443" w:rsidP="000972AF">
            <w:pPr>
              <w:keepNext/>
              <w:widowControl w:val="0"/>
              <w:autoSpaceDE w:val="0"/>
              <w:autoSpaceDN w:val="0"/>
              <w:adjustRightInd w:val="0"/>
              <w:spacing w:after="0" w:line="240" w:lineRule="auto"/>
              <w:rPr>
                <w:szCs w:val="24"/>
              </w:rPr>
            </w:pPr>
          </w:p>
        </w:tc>
        <w:tc>
          <w:tcPr>
            <w:tcW w:w="615" w:type="pct"/>
            <w:tcBorders>
              <w:top w:val="nil"/>
              <w:left w:val="nil"/>
              <w:bottom w:val="nil"/>
              <w:right w:val="nil"/>
            </w:tcBorders>
          </w:tcPr>
          <w:p w14:paraId="2E43E26F" w14:textId="77777777" w:rsidR="00377443" w:rsidRDefault="00377443" w:rsidP="000972AF">
            <w:pPr>
              <w:widowControl w:val="0"/>
              <w:autoSpaceDE w:val="0"/>
              <w:autoSpaceDN w:val="0"/>
              <w:adjustRightInd w:val="0"/>
              <w:spacing w:after="0" w:line="240" w:lineRule="auto"/>
              <w:jc w:val="center"/>
              <w:rPr>
                <w:szCs w:val="24"/>
              </w:rPr>
            </w:pPr>
            <w:r>
              <w:rPr>
                <w:szCs w:val="24"/>
              </w:rPr>
              <w:t>(4.80)</w:t>
            </w:r>
          </w:p>
        </w:tc>
        <w:tc>
          <w:tcPr>
            <w:tcW w:w="816" w:type="pct"/>
            <w:tcBorders>
              <w:top w:val="nil"/>
              <w:left w:val="nil"/>
              <w:bottom w:val="nil"/>
              <w:right w:val="nil"/>
            </w:tcBorders>
          </w:tcPr>
          <w:p w14:paraId="7D5289B9" w14:textId="77777777" w:rsidR="00377443" w:rsidRDefault="00377443" w:rsidP="000972AF">
            <w:pPr>
              <w:widowControl w:val="0"/>
              <w:autoSpaceDE w:val="0"/>
              <w:autoSpaceDN w:val="0"/>
              <w:adjustRightInd w:val="0"/>
              <w:spacing w:after="0" w:line="240" w:lineRule="auto"/>
              <w:jc w:val="center"/>
              <w:rPr>
                <w:szCs w:val="24"/>
              </w:rPr>
            </w:pPr>
            <w:r>
              <w:rPr>
                <w:szCs w:val="24"/>
              </w:rPr>
              <w:t>(4.91)</w:t>
            </w:r>
          </w:p>
        </w:tc>
        <w:tc>
          <w:tcPr>
            <w:tcW w:w="617" w:type="pct"/>
            <w:tcBorders>
              <w:top w:val="nil"/>
              <w:left w:val="nil"/>
              <w:bottom w:val="nil"/>
              <w:right w:val="nil"/>
            </w:tcBorders>
          </w:tcPr>
          <w:p w14:paraId="627A7065" w14:textId="77777777" w:rsidR="00377443" w:rsidRDefault="00377443" w:rsidP="000972AF">
            <w:pPr>
              <w:widowControl w:val="0"/>
              <w:autoSpaceDE w:val="0"/>
              <w:autoSpaceDN w:val="0"/>
              <w:adjustRightInd w:val="0"/>
              <w:spacing w:after="0" w:line="240" w:lineRule="auto"/>
              <w:jc w:val="center"/>
              <w:rPr>
                <w:szCs w:val="24"/>
              </w:rPr>
            </w:pPr>
            <w:r>
              <w:rPr>
                <w:szCs w:val="24"/>
              </w:rPr>
              <w:t>(1.58)</w:t>
            </w:r>
          </w:p>
        </w:tc>
        <w:tc>
          <w:tcPr>
            <w:tcW w:w="811" w:type="pct"/>
            <w:tcBorders>
              <w:top w:val="nil"/>
              <w:left w:val="nil"/>
              <w:bottom w:val="nil"/>
              <w:right w:val="nil"/>
            </w:tcBorders>
          </w:tcPr>
          <w:p w14:paraId="0E36CC01" w14:textId="77777777" w:rsidR="00377443" w:rsidRDefault="00377443" w:rsidP="000972AF">
            <w:pPr>
              <w:widowControl w:val="0"/>
              <w:autoSpaceDE w:val="0"/>
              <w:autoSpaceDN w:val="0"/>
              <w:adjustRightInd w:val="0"/>
              <w:spacing w:after="0" w:line="240" w:lineRule="auto"/>
              <w:jc w:val="center"/>
              <w:rPr>
                <w:szCs w:val="24"/>
              </w:rPr>
            </w:pPr>
            <w:r>
              <w:rPr>
                <w:szCs w:val="24"/>
              </w:rPr>
              <w:t>(1.29)</w:t>
            </w:r>
          </w:p>
        </w:tc>
        <w:tc>
          <w:tcPr>
            <w:tcW w:w="608" w:type="pct"/>
            <w:tcBorders>
              <w:top w:val="nil"/>
              <w:left w:val="nil"/>
              <w:bottom w:val="nil"/>
              <w:right w:val="nil"/>
            </w:tcBorders>
          </w:tcPr>
          <w:p w14:paraId="673CF8C2" w14:textId="77777777" w:rsidR="00377443" w:rsidRDefault="00377443" w:rsidP="000972AF">
            <w:pPr>
              <w:widowControl w:val="0"/>
              <w:autoSpaceDE w:val="0"/>
              <w:autoSpaceDN w:val="0"/>
              <w:adjustRightInd w:val="0"/>
              <w:spacing w:after="0" w:line="240" w:lineRule="auto"/>
              <w:jc w:val="center"/>
              <w:rPr>
                <w:szCs w:val="24"/>
              </w:rPr>
            </w:pPr>
            <w:r>
              <w:rPr>
                <w:szCs w:val="24"/>
              </w:rPr>
              <w:t>(1.27)</w:t>
            </w:r>
          </w:p>
        </w:tc>
      </w:tr>
      <w:tr w:rsidR="00377443" w14:paraId="01B4CAC2" w14:textId="77777777" w:rsidTr="000972AF">
        <w:trPr>
          <w:jc w:val="center"/>
        </w:trPr>
        <w:tc>
          <w:tcPr>
            <w:tcW w:w="1533" w:type="pct"/>
            <w:tcBorders>
              <w:top w:val="nil"/>
              <w:left w:val="nil"/>
              <w:bottom w:val="nil"/>
              <w:right w:val="nil"/>
            </w:tcBorders>
          </w:tcPr>
          <w:p w14:paraId="51546F6B" w14:textId="77777777" w:rsidR="00377443" w:rsidRPr="003E6B6C" w:rsidRDefault="00377443" w:rsidP="000972AF">
            <w:pPr>
              <w:keepNext/>
              <w:widowControl w:val="0"/>
              <w:autoSpaceDE w:val="0"/>
              <w:autoSpaceDN w:val="0"/>
              <w:adjustRightInd w:val="0"/>
              <w:spacing w:after="0" w:line="240" w:lineRule="auto"/>
              <w:rPr>
                <w:szCs w:val="24"/>
              </w:rPr>
            </w:pPr>
            <w:r w:rsidRPr="003E6B6C">
              <w:rPr>
                <w:szCs w:val="24"/>
              </w:rPr>
              <w:t xml:space="preserve">Industry </w:t>
            </w:r>
            <w:r>
              <w:rPr>
                <w:szCs w:val="24"/>
              </w:rPr>
              <w:t>FE</w:t>
            </w:r>
          </w:p>
        </w:tc>
        <w:tc>
          <w:tcPr>
            <w:tcW w:w="615" w:type="pct"/>
            <w:tcBorders>
              <w:top w:val="nil"/>
              <w:left w:val="nil"/>
              <w:bottom w:val="nil"/>
              <w:right w:val="nil"/>
            </w:tcBorders>
          </w:tcPr>
          <w:p w14:paraId="2F4338B5" w14:textId="77777777" w:rsidR="00377443" w:rsidRPr="003E6B6C" w:rsidRDefault="00377443" w:rsidP="000972AF">
            <w:pPr>
              <w:keepNext/>
              <w:widowControl w:val="0"/>
              <w:autoSpaceDE w:val="0"/>
              <w:autoSpaceDN w:val="0"/>
              <w:adjustRightInd w:val="0"/>
              <w:spacing w:after="0" w:line="240" w:lineRule="auto"/>
              <w:jc w:val="center"/>
              <w:rPr>
                <w:szCs w:val="24"/>
              </w:rPr>
            </w:pPr>
            <w:r w:rsidRPr="003E6B6C">
              <w:rPr>
                <w:szCs w:val="24"/>
              </w:rPr>
              <w:t>Included</w:t>
            </w:r>
          </w:p>
        </w:tc>
        <w:tc>
          <w:tcPr>
            <w:tcW w:w="816" w:type="pct"/>
            <w:tcBorders>
              <w:top w:val="nil"/>
              <w:left w:val="nil"/>
              <w:bottom w:val="nil"/>
              <w:right w:val="nil"/>
            </w:tcBorders>
          </w:tcPr>
          <w:p w14:paraId="40E3539E" w14:textId="77777777" w:rsidR="00377443" w:rsidRPr="003E6B6C" w:rsidRDefault="00377443" w:rsidP="000972AF">
            <w:pPr>
              <w:keepNext/>
              <w:widowControl w:val="0"/>
              <w:autoSpaceDE w:val="0"/>
              <w:autoSpaceDN w:val="0"/>
              <w:adjustRightInd w:val="0"/>
              <w:spacing w:after="0" w:line="240" w:lineRule="auto"/>
              <w:jc w:val="center"/>
              <w:rPr>
                <w:szCs w:val="24"/>
              </w:rPr>
            </w:pPr>
            <w:r w:rsidRPr="003E6B6C">
              <w:rPr>
                <w:szCs w:val="24"/>
              </w:rPr>
              <w:t>Included</w:t>
            </w:r>
          </w:p>
        </w:tc>
        <w:tc>
          <w:tcPr>
            <w:tcW w:w="617" w:type="pct"/>
            <w:tcBorders>
              <w:top w:val="nil"/>
              <w:left w:val="nil"/>
              <w:bottom w:val="nil"/>
              <w:right w:val="nil"/>
            </w:tcBorders>
          </w:tcPr>
          <w:p w14:paraId="6C0BA265" w14:textId="77777777" w:rsidR="00377443" w:rsidRPr="003E6B6C" w:rsidRDefault="00377443" w:rsidP="000972AF">
            <w:pPr>
              <w:keepNext/>
              <w:widowControl w:val="0"/>
              <w:autoSpaceDE w:val="0"/>
              <w:autoSpaceDN w:val="0"/>
              <w:adjustRightInd w:val="0"/>
              <w:spacing w:after="0" w:line="240" w:lineRule="auto"/>
              <w:jc w:val="center"/>
              <w:rPr>
                <w:szCs w:val="24"/>
              </w:rPr>
            </w:pPr>
            <w:r w:rsidRPr="003E6B6C">
              <w:rPr>
                <w:szCs w:val="24"/>
              </w:rPr>
              <w:t>Included</w:t>
            </w:r>
          </w:p>
        </w:tc>
        <w:tc>
          <w:tcPr>
            <w:tcW w:w="811" w:type="pct"/>
            <w:tcBorders>
              <w:top w:val="nil"/>
              <w:left w:val="nil"/>
              <w:bottom w:val="nil"/>
              <w:right w:val="nil"/>
            </w:tcBorders>
          </w:tcPr>
          <w:p w14:paraId="15620045" w14:textId="77777777" w:rsidR="00377443" w:rsidRPr="003E6B6C" w:rsidRDefault="00377443" w:rsidP="000972AF">
            <w:pPr>
              <w:keepNext/>
              <w:widowControl w:val="0"/>
              <w:autoSpaceDE w:val="0"/>
              <w:autoSpaceDN w:val="0"/>
              <w:adjustRightInd w:val="0"/>
              <w:spacing w:after="0" w:line="240" w:lineRule="auto"/>
              <w:jc w:val="center"/>
              <w:rPr>
                <w:szCs w:val="24"/>
              </w:rPr>
            </w:pPr>
            <w:r w:rsidRPr="003E6B6C">
              <w:rPr>
                <w:szCs w:val="24"/>
              </w:rPr>
              <w:t>Included</w:t>
            </w:r>
          </w:p>
        </w:tc>
        <w:tc>
          <w:tcPr>
            <w:tcW w:w="608" w:type="pct"/>
            <w:tcBorders>
              <w:top w:val="nil"/>
              <w:left w:val="nil"/>
              <w:bottom w:val="nil"/>
              <w:right w:val="nil"/>
            </w:tcBorders>
          </w:tcPr>
          <w:p w14:paraId="6BB1090B" w14:textId="77777777" w:rsidR="00377443" w:rsidRPr="003E6B6C" w:rsidRDefault="00377443" w:rsidP="000972AF">
            <w:pPr>
              <w:keepNext/>
              <w:widowControl w:val="0"/>
              <w:autoSpaceDE w:val="0"/>
              <w:autoSpaceDN w:val="0"/>
              <w:adjustRightInd w:val="0"/>
              <w:spacing w:after="0" w:line="240" w:lineRule="auto"/>
              <w:jc w:val="center"/>
              <w:rPr>
                <w:szCs w:val="24"/>
              </w:rPr>
            </w:pPr>
            <w:r w:rsidRPr="003E6B6C">
              <w:rPr>
                <w:szCs w:val="24"/>
              </w:rPr>
              <w:t>Included</w:t>
            </w:r>
          </w:p>
        </w:tc>
      </w:tr>
      <w:tr w:rsidR="00377443" w14:paraId="0A6A404C" w14:textId="77777777" w:rsidTr="000972AF">
        <w:trPr>
          <w:jc w:val="center"/>
        </w:trPr>
        <w:tc>
          <w:tcPr>
            <w:tcW w:w="1533" w:type="pct"/>
            <w:tcBorders>
              <w:top w:val="nil"/>
              <w:left w:val="nil"/>
              <w:bottom w:val="nil"/>
              <w:right w:val="nil"/>
            </w:tcBorders>
          </w:tcPr>
          <w:p w14:paraId="0FD32D5A" w14:textId="77777777" w:rsidR="00377443" w:rsidRPr="003E6B6C" w:rsidRDefault="00377443" w:rsidP="000972AF">
            <w:pPr>
              <w:keepNext/>
              <w:widowControl w:val="0"/>
              <w:autoSpaceDE w:val="0"/>
              <w:autoSpaceDN w:val="0"/>
              <w:adjustRightInd w:val="0"/>
              <w:spacing w:after="0" w:line="240" w:lineRule="auto"/>
              <w:rPr>
                <w:szCs w:val="24"/>
              </w:rPr>
            </w:pPr>
            <w:r>
              <w:rPr>
                <w:szCs w:val="24"/>
              </w:rPr>
              <w:t>Time FE</w:t>
            </w:r>
          </w:p>
        </w:tc>
        <w:tc>
          <w:tcPr>
            <w:tcW w:w="615" w:type="pct"/>
            <w:tcBorders>
              <w:top w:val="nil"/>
              <w:left w:val="nil"/>
              <w:bottom w:val="nil"/>
              <w:right w:val="nil"/>
            </w:tcBorders>
          </w:tcPr>
          <w:p w14:paraId="337F8401" w14:textId="77777777" w:rsidR="00377443" w:rsidRPr="003E6B6C" w:rsidRDefault="00377443" w:rsidP="000972AF">
            <w:pPr>
              <w:keepNext/>
              <w:widowControl w:val="0"/>
              <w:autoSpaceDE w:val="0"/>
              <w:autoSpaceDN w:val="0"/>
              <w:adjustRightInd w:val="0"/>
              <w:spacing w:after="0" w:line="240" w:lineRule="auto"/>
              <w:jc w:val="center"/>
              <w:rPr>
                <w:szCs w:val="24"/>
              </w:rPr>
            </w:pPr>
            <w:r w:rsidRPr="003E6B6C">
              <w:rPr>
                <w:szCs w:val="24"/>
              </w:rPr>
              <w:t>Included</w:t>
            </w:r>
          </w:p>
        </w:tc>
        <w:tc>
          <w:tcPr>
            <w:tcW w:w="816" w:type="pct"/>
            <w:tcBorders>
              <w:top w:val="nil"/>
              <w:left w:val="nil"/>
              <w:bottom w:val="nil"/>
              <w:right w:val="nil"/>
            </w:tcBorders>
          </w:tcPr>
          <w:p w14:paraId="3DF7EE95" w14:textId="77777777" w:rsidR="00377443" w:rsidRPr="003E6B6C" w:rsidRDefault="00377443" w:rsidP="000972AF">
            <w:pPr>
              <w:keepNext/>
              <w:widowControl w:val="0"/>
              <w:autoSpaceDE w:val="0"/>
              <w:autoSpaceDN w:val="0"/>
              <w:adjustRightInd w:val="0"/>
              <w:spacing w:after="0" w:line="240" w:lineRule="auto"/>
              <w:jc w:val="center"/>
              <w:rPr>
                <w:szCs w:val="24"/>
              </w:rPr>
            </w:pPr>
            <w:r w:rsidRPr="003E6B6C">
              <w:rPr>
                <w:szCs w:val="24"/>
              </w:rPr>
              <w:t>Included</w:t>
            </w:r>
          </w:p>
        </w:tc>
        <w:tc>
          <w:tcPr>
            <w:tcW w:w="617" w:type="pct"/>
            <w:tcBorders>
              <w:top w:val="nil"/>
              <w:left w:val="nil"/>
              <w:bottom w:val="nil"/>
              <w:right w:val="nil"/>
            </w:tcBorders>
          </w:tcPr>
          <w:p w14:paraId="6B88AA42" w14:textId="77777777" w:rsidR="00377443" w:rsidRPr="003E6B6C" w:rsidRDefault="00377443" w:rsidP="000972AF">
            <w:pPr>
              <w:keepNext/>
              <w:widowControl w:val="0"/>
              <w:autoSpaceDE w:val="0"/>
              <w:autoSpaceDN w:val="0"/>
              <w:adjustRightInd w:val="0"/>
              <w:spacing w:after="0" w:line="240" w:lineRule="auto"/>
              <w:jc w:val="center"/>
              <w:rPr>
                <w:szCs w:val="24"/>
              </w:rPr>
            </w:pPr>
            <w:r w:rsidRPr="003E6B6C">
              <w:rPr>
                <w:szCs w:val="24"/>
              </w:rPr>
              <w:t>Included</w:t>
            </w:r>
          </w:p>
        </w:tc>
        <w:tc>
          <w:tcPr>
            <w:tcW w:w="811" w:type="pct"/>
            <w:tcBorders>
              <w:top w:val="nil"/>
              <w:left w:val="nil"/>
              <w:bottom w:val="nil"/>
              <w:right w:val="nil"/>
            </w:tcBorders>
          </w:tcPr>
          <w:p w14:paraId="74F8A7E6" w14:textId="77777777" w:rsidR="00377443" w:rsidRPr="003E6B6C" w:rsidRDefault="00377443" w:rsidP="000972AF">
            <w:pPr>
              <w:keepNext/>
              <w:widowControl w:val="0"/>
              <w:autoSpaceDE w:val="0"/>
              <w:autoSpaceDN w:val="0"/>
              <w:adjustRightInd w:val="0"/>
              <w:spacing w:after="0" w:line="240" w:lineRule="auto"/>
              <w:jc w:val="center"/>
              <w:rPr>
                <w:szCs w:val="24"/>
              </w:rPr>
            </w:pPr>
            <w:r w:rsidRPr="003E6B6C">
              <w:rPr>
                <w:szCs w:val="24"/>
              </w:rPr>
              <w:t>Included</w:t>
            </w:r>
          </w:p>
        </w:tc>
        <w:tc>
          <w:tcPr>
            <w:tcW w:w="608" w:type="pct"/>
            <w:tcBorders>
              <w:top w:val="nil"/>
              <w:left w:val="nil"/>
              <w:bottom w:val="nil"/>
              <w:right w:val="nil"/>
            </w:tcBorders>
          </w:tcPr>
          <w:p w14:paraId="024E2190" w14:textId="77777777" w:rsidR="00377443" w:rsidRPr="003E6B6C" w:rsidRDefault="00377443" w:rsidP="000972AF">
            <w:pPr>
              <w:keepNext/>
              <w:widowControl w:val="0"/>
              <w:autoSpaceDE w:val="0"/>
              <w:autoSpaceDN w:val="0"/>
              <w:adjustRightInd w:val="0"/>
              <w:spacing w:after="0" w:line="240" w:lineRule="auto"/>
              <w:jc w:val="center"/>
              <w:rPr>
                <w:szCs w:val="24"/>
              </w:rPr>
            </w:pPr>
            <w:r w:rsidRPr="003E6B6C">
              <w:rPr>
                <w:szCs w:val="24"/>
              </w:rPr>
              <w:t>Included</w:t>
            </w:r>
          </w:p>
        </w:tc>
      </w:tr>
      <w:tr w:rsidR="00377443" w14:paraId="6FFBE731" w14:textId="77777777" w:rsidTr="000972AF">
        <w:trPr>
          <w:jc w:val="center"/>
        </w:trPr>
        <w:tc>
          <w:tcPr>
            <w:tcW w:w="1533" w:type="pct"/>
            <w:tcBorders>
              <w:top w:val="nil"/>
              <w:left w:val="nil"/>
              <w:bottom w:val="nil"/>
              <w:right w:val="nil"/>
            </w:tcBorders>
          </w:tcPr>
          <w:p w14:paraId="293152D1" w14:textId="77777777" w:rsidR="00377443" w:rsidRPr="003E6B6C" w:rsidRDefault="00377443" w:rsidP="000972AF">
            <w:pPr>
              <w:keepNext/>
              <w:widowControl w:val="0"/>
              <w:autoSpaceDE w:val="0"/>
              <w:autoSpaceDN w:val="0"/>
              <w:adjustRightInd w:val="0"/>
              <w:spacing w:after="0" w:line="240" w:lineRule="auto"/>
              <w:rPr>
                <w:szCs w:val="24"/>
              </w:rPr>
            </w:pPr>
          </w:p>
        </w:tc>
        <w:tc>
          <w:tcPr>
            <w:tcW w:w="615" w:type="pct"/>
            <w:tcBorders>
              <w:top w:val="nil"/>
              <w:left w:val="nil"/>
              <w:bottom w:val="nil"/>
              <w:right w:val="nil"/>
            </w:tcBorders>
          </w:tcPr>
          <w:p w14:paraId="6442F707" w14:textId="77777777" w:rsidR="00377443" w:rsidRPr="003E6B6C" w:rsidRDefault="00377443" w:rsidP="000972AF">
            <w:pPr>
              <w:keepNext/>
              <w:widowControl w:val="0"/>
              <w:autoSpaceDE w:val="0"/>
              <w:autoSpaceDN w:val="0"/>
              <w:adjustRightInd w:val="0"/>
              <w:spacing w:after="0" w:line="240" w:lineRule="auto"/>
              <w:jc w:val="center"/>
              <w:rPr>
                <w:szCs w:val="24"/>
              </w:rPr>
            </w:pPr>
          </w:p>
        </w:tc>
        <w:tc>
          <w:tcPr>
            <w:tcW w:w="816" w:type="pct"/>
            <w:tcBorders>
              <w:top w:val="nil"/>
              <w:left w:val="nil"/>
              <w:bottom w:val="nil"/>
              <w:right w:val="nil"/>
            </w:tcBorders>
          </w:tcPr>
          <w:p w14:paraId="780BB3B3" w14:textId="77777777" w:rsidR="00377443" w:rsidRPr="003E6B6C" w:rsidRDefault="00377443" w:rsidP="000972AF">
            <w:pPr>
              <w:keepNext/>
              <w:widowControl w:val="0"/>
              <w:autoSpaceDE w:val="0"/>
              <w:autoSpaceDN w:val="0"/>
              <w:adjustRightInd w:val="0"/>
              <w:spacing w:after="0" w:line="240" w:lineRule="auto"/>
              <w:jc w:val="center"/>
              <w:rPr>
                <w:szCs w:val="24"/>
              </w:rPr>
            </w:pPr>
          </w:p>
        </w:tc>
        <w:tc>
          <w:tcPr>
            <w:tcW w:w="617" w:type="pct"/>
            <w:tcBorders>
              <w:top w:val="nil"/>
              <w:left w:val="nil"/>
              <w:bottom w:val="nil"/>
              <w:right w:val="nil"/>
            </w:tcBorders>
          </w:tcPr>
          <w:p w14:paraId="73F9CE9D" w14:textId="77777777" w:rsidR="00377443" w:rsidRPr="003E6B6C" w:rsidRDefault="00377443" w:rsidP="000972AF">
            <w:pPr>
              <w:keepNext/>
              <w:widowControl w:val="0"/>
              <w:autoSpaceDE w:val="0"/>
              <w:autoSpaceDN w:val="0"/>
              <w:adjustRightInd w:val="0"/>
              <w:spacing w:after="0" w:line="240" w:lineRule="auto"/>
              <w:jc w:val="center"/>
              <w:rPr>
                <w:szCs w:val="24"/>
              </w:rPr>
            </w:pPr>
          </w:p>
        </w:tc>
        <w:tc>
          <w:tcPr>
            <w:tcW w:w="811" w:type="pct"/>
            <w:tcBorders>
              <w:top w:val="nil"/>
              <w:left w:val="nil"/>
              <w:bottom w:val="nil"/>
              <w:right w:val="nil"/>
            </w:tcBorders>
          </w:tcPr>
          <w:p w14:paraId="51784F26" w14:textId="77777777" w:rsidR="00377443" w:rsidRPr="003E6B6C" w:rsidRDefault="00377443" w:rsidP="000972AF">
            <w:pPr>
              <w:keepNext/>
              <w:widowControl w:val="0"/>
              <w:autoSpaceDE w:val="0"/>
              <w:autoSpaceDN w:val="0"/>
              <w:adjustRightInd w:val="0"/>
              <w:spacing w:after="0" w:line="240" w:lineRule="auto"/>
              <w:jc w:val="center"/>
              <w:rPr>
                <w:szCs w:val="24"/>
              </w:rPr>
            </w:pPr>
          </w:p>
        </w:tc>
        <w:tc>
          <w:tcPr>
            <w:tcW w:w="608" w:type="pct"/>
            <w:tcBorders>
              <w:top w:val="nil"/>
              <w:left w:val="nil"/>
              <w:bottom w:val="nil"/>
              <w:right w:val="nil"/>
            </w:tcBorders>
          </w:tcPr>
          <w:p w14:paraId="0F815739" w14:textId="77777777" w:rsidR="00377443" w:rsidRPr="003E6B6C" w:rsidRDefault="00377443" w:rsidP="000972AF">
            <w:pPr>
              <w:keepNext/>
              <w:widowControl w:val="0"/>
              <w:autoSpaceDE w:val="0"/>
              <w:autoSpaceDN w:val="0"/>
              <w:adjustRightInd w:val="0"/>
              <w:spacing w:after="0" w:line="240" w:lineRule="auto"/>
              <w:jc w:val="center"/>
              <w:rPr>
                <w:szCs w:val="24"/>
              </w:rPr>
            </w:pPr>
          </w:p>
        </w:tc>
      </w:tr>
      <w:tr w:rsidR="00377443" w14:paraId="7CF812DC" w14:textId="77777777" w:rsidTr="000972AF">
        <w:trPr>
          <w:jc w:val="center"/>
        </w:trPr>
        <w:tc>
          <w:tcPr>
            <w:tcW w:w="1533" w:type="pct"/>
            <w:tcBorders>
              <w:top w:val="nil"/>
              <w:left w:val="nil"/>
              <w:bottom w:val="nil"/>
              <w:right w:val="nil"/>
            </w:tcBorders>
          </w:tcPr>
          <w:p w14:paraId="2DE13990" w14:textId="77777777" w:rsidR="00377443" w:rsidRPr="003E6B6C" w:rsidRDefault="00377443" w:rsidP="000972AF">
            <w:pPr>
              <w:keepNext/>
              <w:widowControl w:val="0"/>
              <w:autoSpaceDE w:val="0"/>
              <w:autoSpaceDN w:val="0"/>
              <w:adjustRightInd w:val="0"/>
              <w:spacing w:after="0" w:line="240" w:lineRule="auto"/>
              <w:rPr>
                <w:szCs w:val="24"/>
              </w:rPr>
            </w:pPr>
            <w:r w:rsidRPr="003E6B6C">
              <w:rPr>
                <w:szCs w:val="24"/>
              </w:rPr>
              <w:t>Constant</w:t>
            </w:r>
          </w:p>
        </w:tc>
        <w:tc>
          <w:tcPr>
            <w:tcW w:w="615" w:type="pct"/>
            <w:tcBorders>
              <w:top w:val="nil"/>
              <w:left w:val="nil"/>
              <w:bottom w:val="nil"/>
              <w:right w:val="nil"/>
            </w:tcBorders>
          </w:tcPr>
          <w:p w14:paraId="346A1F68" w14:textId="77777777" w:rsidR="00377443" w:rsidRDefault="00377443" w:rsidP="000972AF">
            <w:pPr>
              <w:widowControl w:val="0"/>
              <w:autoSpaceDE w:val="0"/>
              <w:autoSpaceDN w:val="0"/>
              <w:adjustRightInd w:val="0"/>
              <w:spacing w:after="0" w:line="240" w:lineRule="auto"/>
              <w:jc w:val="center"/>
              <w:rPr>
                <w:szCs w:val="24"/>
              </w:rPr>
            </w:pPr>
            <w:r>
              <w:rPr>
                <w:szCs w:val="24"/>
              </w:rPr>
              <w:t>0.06***</w:t>
            </w:r>
          </w:p>
        </w:tc>
        <w:tc>
          <w:tcPr>
            <w:tcW w:w="816" w:type="pct"/>
            <w:tcBorders>
              <w:top w:val="nil"/>
              <w:left w:val="nil"/>
              <w:bottom w:val="nil"/>
              <w:right w:val="nil"/>
            </w:tcBorders>
          </w:tcPr>
          <w:p w14:paraId="6643A74E" w14:textId="77777777" w:rsidR="00377443" w:rsidRDefault="00377443" w:rsidP="000972AF">
            <w:pPr>
              <w:widowControl w:val="0"/>
              <w:autoSpaceDE w:val="0"/>
              <w:autoSpaceDN w:val="0"/>
              <w:adjustRightInd w:val="0"/>
              <w:spacing w:after="0" w:line="240" w:lineRule="auto"/>
              <w:jc w:val="center"/>
              <w:rPr>
                <w:szCs w:val="24"/>
              </w:rPr>
            </w:pPr>
            <w:r>
              <w:rPr>
                <w:szCs w:val="24"/>
              </w:rPr>
              <w:t>0.04***</w:t>
            </w:r>
          </w:p>
        </w:tc>
        <w:tc>
          <w:tcPr>
            <w:tcW w:w="617" w:type="pct"/>
            <w:tcBorders>
              <w:top w:val="nil"/>
              <w:left w:val="nil"/>
              <w:bottom w:val="nil"/>
              <w:right w:val="nil"/>
            </w:tcBorders>
          </w:tcPr>
          <w:p w14:paraId="4C7642F6" w14:textId="77777777" w:rsidR="00377443" w:rsidRDefault="00377443" w:rsidP="000972AF">
            <w:pPr>
              <w:widowControl w:val="0"/>
              <w:autoSpaceDE w:val="0"/>
              <w:autoSpaceDN w:val="0"/>
              <w:adjustRightInd w:val="0"/>
              <w:spacing w:after="0" w:line="240" w:lineRule="auto"/>
              <w:jc w:val="center"/>
              <w:rPr>
                <w:szCs w:val="24"/>
              </w:rPr>
            </w:pPr>
            <w:r>
              <w:rPr>
                <w:szCs w:val="24"/>
              </w:rPr>
              <w:t>0.15***</w:t>
            </w:r>
          </w:p>
        </w:tc>
        <w:tc>
          <w:tcPr>
            <w:tcW w:w="811" w:type="pct"/>
            <w:tcBorders>
              <w:top w:val="nil"/>
              <w:left w:val="nil"/>
              <w:bottom w:val="nil"/>
              <w:right w:val="nil"/>
            </w:tcBorders>
          </w:tcPr>
          <w:p w14:paraId="6FF3B939" w14:textId="77777777" w:rsidR="00377443" w:rsidRDefault="00377443" w:rsidP="000972AF">
            <w:pPr>
              <w:widowControl w:val="0"/>
              <w:autoSpaceDE w:val="0"/>
              <w:autoSpaceDN w:val="0"/>
              <w:adjustRightInd w:val="0"/>
              <w:spacing w:after="0" w:line="240" w:lineRule="auto"/>
              <w:jc w:val="center"/>
              <w:rPr>
                <w:szCs w:val="24"/>
              </w:rPr>
            </w:pPr>
            <w:r>
              <w:rPr>
                <w:szCs w:val="24"/>
              </w:rPr>
              <w:t>0.09***</w:t>
            </w:r>
          </w:p>
        </w:tc>
        <w:tc>
          <w:tcPr>
            <w:tcW w:w="608" w:type="pct"/>
            <w:tcBorders>
              <w:top w:val="nil"/>
              <w:left w:val="nil"/>
              <w:bottom w:val="nil"/>
              <w:right w:val="nil"/>
            </w:tcBorders>
          </w:tcPr>
          <w:p w14:paraId="7415A216" w14:textId="77777777" w:rsidR="00377443" w:rsidRDefault="00377443" w:rsidP="000972AF">
            <w:pPr>
              <w:widowControl w:val="0"/>
              <w:autoSpaceDE w:val="0"/>
              <w:autoSpaceDN w:val="0"/>
              <w:adjustRightInd w:val="0"/>
              <w:spacing w:after="0" w:line="240" w:lineRule="auto"/>
              <w:jc w:val="center"/>
              <w:rPr>
                <w:szCs w:val="24"/>
              </w:rPr>
            </w:pPr>
            <w:r>
              <w:rPr>
                <w:szCs w:val="24"/>
              </w:rPr>
              <w:t>0.08***</w:t>
            </w:r>
          </w:p>
        </w:tc>
      </w:tr>
      <w:tr w:rsidR="00377443" w14:paraId="66C37A68" w14:textId="77777777" w:rsidTr="000972AF">
        <w:trPr>
          <w:jc w:val="center"/>
        </w:trPr>
        <w:tc>
          <w:tcPr>
            <w:tcW w:w="1533" w:type="pct"/>
            <w:tcBorders>
              <w:top w:val="nil"/>
              <w:left w:val="nil"/>
              <w:bottom w:val="nil"/>
              <w:right w:val="nil"/>
            </w:tcBorders>
          </w:tcPr>
          <w:p w14:paraId="53F87F47" w14:textId="77777777" w:rsidR="00377443" w:rsidRPr="003E6B6C" w:rsidRDefault="00377443" w:rsidP="000972AF">
            <w:pPr>
              <w:keepNext/>
              <w:widowControl w:val="0"/>
              <w:autoSpaceDE w:val="0"/>
              <w:autoSpaceDN w:val="0"/>
              <w:adjustRightInd w:val="0"/>
              <w:spacing w:after="0" w:line="240" w:lineRule="auto"/>
              <w:rPr>
                <w:szCs w:val="24"/>
              </w:rPr>
            </w:pPr>
          </w:p>
        </w:tc>
        <w:tc>
          <w:tcPr>
            <w:tcW w:w="615" w:type="pct"/>
            <w:tcBorders>
              <w:top w:val="nil"/>
              <w:left w:val="nil"/>
              <w:bottom w:val="nil"/>
              <w:right w:val="nil"/>
            </w:tcBorders>
          </w:tcPr>
          <w:p w14:paraId="7F379C48" w14:textId="77777777" w:rsidR="00377443" w:rsidRDefault="00377443" w:rsidP="000972AF">
            <w:pPr>
              <w:widowControl w:val="0"/>
              <w:autoSpaceDE w:val="0"/>
              <w:autoSpaceDN w:val="0"/>
              <w:adjustRightInd w:val="0"/>
              <w:spacing w:after="0" w:line="240" w:lineRule="auto"/>
              <w:jc w:val="center"/>
              <w:rPr>
                <w:szCs w:val="24"/>
              </w:rPr>
            </w:pPr>
            <w:r>
              <w:rPr>
                <w:szCs w:val="24"/>
              </w:rPr>
              <w:t>(0.02)</w:t>
            </w:r>
          </w:p>
        </w:tc>
        <w:tc>
          <w:tcPr>
            <w:tcW w:w="816" w:type="pct"/>
            <w:tcBorders>
              <w:top w:val="nil"/>
              <w:left w:val="nil"/>
              <w:bottom w:val="nil"/>
              <w:right w:val="nil"/>
            </w:tcBorders>
          </w:tcPr>
          <w:p w14:paraId="13738007" w14:textId="77777777" w:rsidR="00377443" w:rsidRDefault="00377443" w:rsidP="000972AF">
            <w:pPr>
              <w:widowControl w:val="0"/>
              <w:autoSpaceDE w:val="0"/>
              <w:autoSpaceDN w:val="0"/>
              <w:adjustRightInd w:val="0"/>
              <w:spacing w:after="0" w:line="240" w:lineRule="auto"/>
              <w:jc w:val="center"/>
              <w:rPr>
                <w:szCs w:val="24"/>
              </w:rPr>
            </w:pPr>
            <w:r>
              <w:rPr>
                <w:szCs w:val="24"/>
              </w:rPr>
              <w:t>(0.01)</w:t>
            </w:r>
          </w:p>
        </w:tc>
        <w:tc>
          <w:tcPr>
            <w:tcW w:w="617" w:type="pct"/>
            <w:tcBorders>
              <w:top w:val="nil"/>
              <w:left w:val="nil"/>
              <w:bottom w:val="nil"/>
              <w:right w:val="nil"/>
            </w:tcBorders>
          </w:tcPr>
          <w:p w14:paraId="51034869" w14:textId="77777777" w:rsidR="00377443" w:rsidRDefault="00377443" w:rsidP="000972AF">
            <w:pPr>
              <w:widowControl w:val="0"/>
              <w:autoSpaceDE w:val="0"/>
              <w:autoSpaceDN w:val="0"/>
              <w:adjustRightInd w:val="0"/>
              <w:spacing w:after="0" w:line="240" w:lineRule="auto"/>
              <w:jc w:val="center"/>
              <w:rPr>
                <w:szCs w:val="24"/>
              </w:rPr>
            </w:pPr>
            <w:r>
              <w:rPr>
                <w:szCs w:val="24"/>
              </w:rPr>
              <w:t>(0.04)</w:t>
            </w:r>
          </w:p>
        </w:tc>
        <w:tc>
          <w:tcPr>
            <w:tcW w:w="811" w:type="pct"/>
            <w:tcBorders>
              <w:top w:val="nil"/>
              <w:left w:val="nil"/>
              <w:bottom w:val="nil"/>
              <w:right w:val="nil"/>
            </w:tcBorders>
          </w:tcPr>
          <w:p w14:paraId="05FDC302" w14:textId="77777777" w:rsidR="00377443" w:rsidRDefault="00377443" w:rsidP="000972AF">
            <w:pPr>
              <w:widowControl w:val="0"/>
              <w:autoSpaceDE w:val="0"/>
              <w:autoSpaceDN w:val="0"/>
              <w:adjustRightInd w:val="0"/>
              <w:spacing w:after="0" w:line="240" w:lineRule="auto"/>
              <w:jc w:val="center"/>
              <w:rPr>
                <w:szCs w:val="24"/>
              </w:rPr>
            </w:pPr>
            <w:r>
              <w:rPr>
                <w:szCs w:val="24"/>
              </w:rPr>
              <w:t>(0.03)</w:t>
            </w:r>
          </w:p>
        </w:tc>
        <w:tc>
          <w:tcPr>
            <w:tcW w:w="608" w:type="pct"/>
            <w:tcBorders>
              <w:top w:val="nil"/>
              <w:left w:val="nil"/>
              <w:bottom w:val="nil"/>
              <w:right w:val="nil"/>
            </w:tcBorders>
          </w:tcPr>
          <w:p w14:paraId="732ED58D" w14:textId="77777777" w:rsidR="00377443" w:rsidRDefault="00377443" w:rsidP="000972AF">
            <w:pPr>
              <w:widowControl w:val="0"/>
              <w:autoSpaceDE w:val="0"/>
              <w:autoSpaceDN w:val="0"/>
              <w:adjustRightInd w:val="0"/>
              <w:spacing w:after="0" w:line="240" w:lineRule="auto"/>
              <w:jc w:val="center"/>
              <w:rPr>
                <w:szCs w:val="24"/>
              </w:rPr>
            </w:pPr>
            <w:r>
              <w:rPr>
                <w:szCs w:val="24"/>
              </w:rPr>
              <w:t>(0.03)</w:t>
            </w:r>
          </w:p>
        </w:tc>
      </w:tr>
      <w:tr w:rsidR="00377443" w14:paraId="766DEB50" w14:textId="77777777" w:rsidTr="000972AF">
        <w:trPr>
          <w:jc w:val="center"/>
        </w:trPr>
        <w:tc>
          <w:tcPr>
            <w:tcW w:w="1533" w:type="pct"/>
            <w:tcBorders>
              <w:top w:val="nil"/>
              <w:left w:val="nil"/>
              <w:bottom w:val="nil"/>
              <w:right w:val="nil"/>
            </w:tcBorders>
          </w:tcPr>
          <w:p w14:paraId="743BCF1B" w14:textId="77777777" w:rsidR="00377443" w:rsidRPr="003E6B6C" w:rsidRDefault="00377443" w:rsidP="000972AF">
            <w:pPr>
              <w:keepNext/>
              <w:widowControl w:val="0"/>
              <w:autoSpaceDE w:val="0"/>
              <w:autoSpaceDN w:val="0"/>
              <w:adjustRightInd w:val="0"/>
              <w:spacing w:after="0" w:line="240" w:lineRule="auto"/>
              <w:rPr>
                <w:szCs w:val="24"/>
              </w:rPr>
            </w:pPr>
          </w:p>
        </w:tc>
        <w:tc>
          <w:tcPr>
            <w:tcW w:w="615" w:type="pct"/>
            <w:tcBorders>
              <w:top w:val="nil"/>
              <w:left w:val="nil"/>
              <w:bottom w:val="nil"/>
              <w:right w:val="nil"/>
            </w:tcBorders>
          </w:tcPr>
          <w:p w14:paraId="35852B28" w14:textId="77777777" w:rsidR="00377443" w:rsidRDefault="00377443" w:rsidP="000972AF">
            <w:pPr>
              <w:widowControl w:val="0"/>
              <w:autoSpaceDE w:val="0"/>
              <w:autoSpaceDN w:val="0"/>
              <w:adjustRightInd w:val="0"/>
              <w:spacing w:after="0" w:line="240" w:lineRule="auto"/>
              <w:jc w:val="center"/>
              <w:rPr>
                <w:szCs w:val="24"/>
              </w:rPr>
            </w:pPr>
          </w:p>
        </w:tc>
        <w:tc>
          <w:tcPr>
            <w:tcW w:w="816" w:type="pct"/>
            <w:tcBorders>
              <w:top w:val="nil"/>
              <w:left w:val="nil"/>
              <w:bottom w:val="nil"/>
              <w:right w:val="nil"/>
            </w:tcBorders>
          </w:tcPr>
          <w:p w14:paraId="50D56A2F" w14:textId="77777777" w:rsidR="00377443" w:rsidRDefault="00377443" w:rsidP="000972AF">
            <w:pPr>
              <w:widowControl w:val="0"/>
              <w:autoSpaceDE w:val="0"/>
              <w:autoSpaceDN w:val="0"/>
              <w:adjustRightInd w:val="0"/>
              <w:spacing w:after="0" w:line="240" w:lineRule="auto"/>
              <w:jc w:val="center"/>
              <w:rPr>
                <w:szCs w:val="24"/>
              </w:rPr>
            </w:pPr>
          </w:p>
        </w:tc>
        <w:tc>
          <w:tcPr>
            <w:tcW w:w="617" w:type="pct"/>
            <w:tcBorders>
              <w:top w:val="nil"/>
              <w:left w:val="nil"/>
              <w:bottom w:val="nil"/>
              <w:right w:val="nil"/>
            </w:tcBorders>
          </w:tcPr>
          <w:p w14:paraId="26575FF2" w14:textId="77777777" w:rsidR="00377443" w:rsidRDefault="00377443" w:rsidP="000972AF">
            <w:pPr>
              <w:widowControl w:val="0"/>
              <w:autoSpaceDE w:val="0"/>
              <w:autoSpaceDN w:val="0"/>
              <w:adjustRightInd w:val="0"/>
              <w:spacing w:after="0" w:line="240" w:lineRule="auto"/>
              <w:jc w:val="center"/>
              <w:rPr>
                <w:szCs w:val="24"/>
              </w:rPr>
            </w:pPr>
          </w:p>
        </w:tc>
        <w:tc>
          <w:tcPr>
            <w:tcW w:w="811" w:type="pct"/>
            <w:tcBorders>
              <w:top w:val="nil"/>
              <w:left w:val="nil"/>
              <w:bottom w:val="nil"/>
              <w:right w:val="nil"/>
            </w:tcBorders>
          </w:tcPr>
          <w:p w14:paraId="01089CB6" w14:textId="77777777" w:rsidR="00377443" w:rsidRDefault="00377443" w:rsidP="000972AF">
            <w:pPr>
              <w:widowControl w:val="0"/>
              <w:autoSpaceDE w:val="0"/>
              <w:autoSpaceDN w:val="0"/>
              <w:adjustRightInd w:val="0"/>
              <w:spacing w:after="0" w:line="240" w:lineRule="auto"/>
              <w:jc w:val="center"/>
              <w:rPr>
                <w:szCs w:val="24"/>
              </w:rPr>
            </w:pPr>
          </w:p>
        </w:tc>
        <w:tc>
          <w:tcPr>
            <w:tcW w:w="608" w:type="pct"/>
            <w:tcBorders>
              <w:top w:val="nil"/>
              <w:left w:val="nil"/>
              <w:bottom w:val="nil"/>
              <w:right w:val="nil"/>
            </w:tcBorders>
          </w:tcPr>
          <w:p w14:paraId="4270A4C5" w14:textId="77777777" w:rsidR="00377443" w:rsidRDefault="00377443" w:rsidP="000972AF">
            <w:pPr>
              <w:widowControl w:val="0"/>
              <w:autoSpaceDE w:val="0"/>
              <w:autoSpaceDN w:val="0"/>
              <w:adjustRightInd w:val="0"/>
              <w:spacing w:after="0" w:line="240" w:lineRule="auto"/>
              <w:jc w:val="center"/>
              <w:rPr>
                <w:szCs w:val="24"/>
              </w:rPr>
            </w:pPr>
          </w:p>
        </w:tc>
      </w:tr>
      <w:tr w:rsidR="00377443" w14:paraId="0EE33B27" w14:textId="77777777" w:rsidTr="000972AF">
        <w:trPr>
          <w:jc w:val="center"/>
        </w:trPr>
        <w:tc>
          <w:tcPr>
            <w:tcW w:w="1533" w:type="pct"/>
            <w:tcBorders>
              <w:top w:val="nil"/>
              <w:left w:val="nil"/>
              <w:bottom w:val="nil"/>
              <w:right w:val="nil"/>
            </w:tcBorders>
          </w:tcPr>
          <w:p w14:paraId="71E947E2" w14:textId="77777777" w:rsidR="00377443" w:rsidRPr="003E6B6C" w:rsidRDefault="00377443" w:rsidP="000972AF">
            <w:pPr>
              <w:keepNext/>
              <w:widowControl w:val="0"/>
              <w:autoSpaceDE w:val="0"/>
              <w:autoSpaceDN w:val="0"/>
              <w:adjustRightInd w:val="0"/>
              <w:spacing w:after="0" w:line="240" w:lineRule="auto"/>
              <w:rPr>
                <w:szCs w:val="24"/>
              </w:rPr>
            </w:pPr>
            <w:r w:rsidRPr="003E6B6C">
              <w:rPr>
                <w:szCs w:val="24"/>
              </w:rPr>
              <w:t>Observations</w:t>
            </w:r>
          </w:p>
        </w:tc>
        <w:tc>
          <w:tcPr>
            <w:tcW w:w="615" w:type="pct"/>
            <w:tcBorders>
              <w:top w:val="nil"/>
              <w:left w:val="nil"/>
              <w:bottom w:val="nil"/>
              <w:right w:val="nil"/>
            </w:tcBorders>
          </w:tcPr>
          <w:p w14:paraId="1D7791A1" w14:textId="77777777" w:rsidR="00377443" w:rsidRDefault="00377443" w:rsidP="000972AF">
            <w:pPr>
              <w:widowControl w:val="0"/>
              <w:autoSpaceDE w:val="0"/>
              <w:autoSpaceDN w:val="0"/>
              <w:adjustRightInd w:val="0"/>
              <w:spacing w:after="0" w:line="240" w:lineRule="auto"/>
              <w:jc w:val="center"/>
              <w:rPr>
                <w:szCs w:val="24"/>
              </w:rPr>
            </w:pPr>
            <w:r>
              <w:rPr>
                <w:szCs w:val="24"/>
              </w:rPr>
              <w:t>6,363</w:t>
            </w:r>
          </w:p>
        </w:tc>
        <w:tc>
          <w:tcPr>
            <w:tcW w:w="816" w:type="pct"/>
            <w:tcBorders>
              <w:top w:val="nil"/>
              <w:left w:val="nil"/>
              <w:bottom w:val="nil"/>
              <w:right w:val="nil"/>
            </w:tcBorders>
          </w:tcPr>
          <w:p w14:paraId="0F1A8FF4" w14:textId="77777777" w:rsidR="00377443" w:rsidRDefault="00377443" w:rsidP="000972AF">
            <w:pPr>
              <w:widowControl w:val="0"/>
              <w:autoSpaceDE w:val="0"/>
              <w:autoSpaceDN w:val="0"/>
              <w:adjustRightInd w:val="0"/>
              <w:spacing w:after="0" w:line="240" w:lineRule="auto"/>
              <w:jc w:val="center"/>
              <w:rPr>
                <w:szCs w:val="24"/>
              </w:rPr>
            </w:pPr>
            <w:r>
              <w:rPr>
                <w:szCs w:val="24"/>
              </w:rPr>
              <w:t>6,341</w:t>
            </w:r>
          </w:p>
        </w:tc>
        <w:tc>
          <w:tcPr>
            <w:tcW w:w="617" w:type="pct"/>
            <w:tcBorders>
              <w:top w:val="nil"/>
              <w:left w:val="nil"/>
              <w:bottom w:val="nil"/>
              <w:right w:val="nil"/>
            </w:tcBorders>
          </w:tcPr>
          <w:p w14:paraId="09113B8A" w14:textId="77777777" w:rsidR="00377443" w:rsidRDefault="00377443" w:rsidP="000972AF">
            <w:pPr>
              <w:widowControl w:val="0"/>
              <w:autoSpaceDE w:val="0"/>
              <w:autoSpaceDN w:val="0"/>
              <w:adjustRightInd w:val="0"/>
              <w:spacing w:after="0" w:line="240" w:lineRule="auto"/>
              <w:jc w:val="center"/>
              <w:rPr>
                <w:szCs w:val="24"/>
              </w:rPr>
            </w:pPr>
            <w:r>
              <w:rPr>
                <w:szCs w:val="24"/>
              </w:rPr>
              <w:t>6,378</w:t>
            </w:r>
          </w:p>
        </w:tc>
        <w:tc>
          <w:tcPr>
            <w:tcW w:w="811" w:type="pct"/>
            <w:tcBorders>
              <w:top w:val="nil"/>
              <w:left w:val="nil"/>
              <w:bottom w:val="nil"/>
              <w:right w:val="nil"/>
            </w:tcBorders>
          </w:tcPr>
          <w:p w14:paraId="7525E3F0" w14:textId="77777777" w:rsidR="00377443" w:rsidRDefault="00377443" w:rsidP="000972AF">
            <w:pPr>
              <w:widowControl w:val="0"/>
              <w:autoSpaceDE w:val="0"/>
              <w:autoSpaceDN w:val="0"/>
              <w:adjustRightInd w:val="0"/>
              <w:spacing w:after="0" w:line="240" w:lineRule="auto"/>
              <w:jc w:val="center"/>
              <w:rPr>
                <w:szCs w:val="24"/>
              </w:rPr>
            </w:pPr>
            <w:r>
              <w:rPr>
                <w:szCs w:val="24"/>
              </w:rPr>
              <w:t>5,650</w:t>
            </w:r>
          </w:p>
        </w:tc>
        <w:tc>
          <w:tcPr>
            <w:tcW w:w="608" w:type="pct"/>
            <w:tcBorders>
              <w:top w:val="nil"/>
              <w:left w:val="nil"/>
              <w:bottom w:val="nil"/>
              <w:right w:val="nil"/>
            </w:tcBorders>
          </w:tcPr>
          <w:p w14:paraId="49A660FA" w14:textId="77777777" w:rsidR="00377443" w:rsidRDefault="00377443" w:rsidP="000972AF">
            <w:pPr>
              <w:widowControl w:val="0"/>
              <w:autoSpaceDE w:val="0"/>
              <w:autoSpaceDN w:val="0"/>
              <w:adjustRightInd w:val="0"/>
              <w:spacing w:after="0" w:line="240" w:lineRule="auto"/>
              <w:jc w:val="center"/>
              <w:rPr>
                <w:szCs w:val="24"/>
              </w:rPr>
            </w:pPr>
            <w:r>
              <w:rPr>
                <w:szCs w:val="24"/>
              </w:rPr>
              <w:t>6,061</w:t>
            </w:r>
          </w:p>
        </w:tc>
      </w:tr>
      <w:tr w:rsidR="00377443" w14:paraId="0EF04D66" w14:textId="77777777" w:rsidTr="000972AF">
        <w:tblPrEx>
          <w:tblBorders>
            <w:bottom w:val="single" w:sz="6" w:space="0" w:color="auto"/>
          </w:tblBorders>
        </w:tblPrEx>
        <w:trPr>
          <w:jc w:val="center"/>
        </w:trPr>
        <w:tc>
          <w:tcPr>
            <w:tcW w:w="1533" w:type="pct"/>
            <w:tcBorders>
              <w:top w:val="nil"/>
              <w:left w:val="nil"/>
              <w:bottom w:val="single" w:sz="6" w:space="0" w:color="auto"/>
              <w:right w:val="nil"/>
            </w:tcBorders>
          </w:tcPr>
          <w:p w14:paraId="3E6102F6" w14:textId="77777777" w:rsidR="00377443" w:rsidRPr="003E6B6C" w:rsidRDefault="00377443" w:rsidP="000972AF">
            <w:pPr>
              <w:keepNext/>
              <w:widowControl w:val="0"/>
              <w:autoSpaceDE w:val="0"/>
              <w:autoSpaceDN w:val="0"/>
              <w:adjustRightInd w:val="0"/>
              <w:spacing w:after="0" w:line="240" w:lineRule="auto"/>
              <w:rPr>
                <w:szCs w:val="24"/>
              </w:rPr>
            </w:pPr>
            <w:r w:rsidRPr="003E6B6C">
              <w:rPr>
                <w:szCs w:val="24"/>
              </w:rPr>
              <w:t>Pseudo R</w:t>
            </w:r>
            <w:r w:rsidRPr="003E6B6C">
              <w:rPr>
                <w:szCs w:val="24"/>
                <w:vertAlign w:val="superscript"/>
              </w:rPr>
              <w:t>2</w:t>
            </w:r>
          </w:p>
        </w:tc>
        <w:tc>
          <w:tcPr>
            <w:tcW w:w="615" w:type="pct"/>
            <w:tcBorders>
              <w:top w:val="nil"/>
              <w:left w:val="nil"/>
              <w:bottom w:val="single" w:sz="6" w:space="0" w:color="auto"/>
              <w:right w:val="nil"/>
            </w:tcBorders>
          </w:tcPr>
          <w:p w14:paraId="2ABB6F42" w14:textId="77777777" w:rsidR="00377443" w:rsidRDefault="00377443" w:rsidP="000972AF">
            <w:pPr>
              <w:widowControl w:val="0"/>
              <w:autoSpaceDE w:val="0"/>
              <w:autoSpaceDN w:val="0"/>
              <w:adjustRightInd w:val="0"/>
              <w:spacing w:after="0" w:line="240" w:lineRule="auto"/>
              <w:jc w:val="center"/>
              <w:rPr>
                <w:szCs w:val="24"/>
              </w:rPr>
            </w:pPr>
            <w:r>
              <w:rPr>
                <w:szCs w:val="24"/>
              </w:rPr>
              <w:t>0.171</w:t>
            </w:r>
          </w:p>
        </w:tc>
        <w:tc>
          <w:tcPr>
            <w:tcW w:w="816" w:type="pct"/>
            <w:tcBorders>
              <w:top w:val="nil"/>
              <w:left w:val="nil"/>
              <w:bottom w:val="single" w:sz="6" w:space="0" w:color="auto"/>
              <w:right w:val="nil"/>
            </w:tcBorders>
          </w:tcPr>
          <w:p w14:paraId="73A81349" w14:textId="77777777" w:rsidR="00377443" w:rsidRDefault="00377443" w:rsidP="000972AF">
            <w:pPr>
              <w:widowControl w:val="0"/>
              <w:autoSpaceDE w:val="0"/>
              <w:autoSpaceDN w:val="0"/>
              <w:adjustRightInd w:val="0"/>
              <w:spacing w:after="0" w:line="240" w:lineRule="auto"/>
              <w:jc w:val="center"/>
              <w:rPr>
                <w:szCs w:val="24"/>
              </w:rPr>
            </w:pPr>
            <w:r>
              <w:rPr>
                <w:szCs w:val="24"/>
              </w:rPr>
              <w:t>0.157</w:t>
            </w:r>
          </w:p>
        </w:tc>
        <w:tc>
          <w:tcPr>
            <w:tcW w:w="617" w:type="pct"/>
            <w:tcBorders>
              <w:top w:val="nil"/>
              <w:left w:val="nil"/>
              <w:bottom w:val="single" w:sz="6" w:space="0" w:color="auto"/>
              <w:right w:val="nil"/>
            </w:tcBorders>
          </w:tcPr>
          <w:p w14:paraId="11F8CF55" w14:textId="77777777" w:rsidR="00377443" w:rsidRDefault="00377443" w:rsidP="000972AF">
            <w:pPr>
              <w:widowControl w:val="0"/>
              <w:autoSpaceDE w:val="0"/>
              <w:autoSpaceDN w:val="0"/>
              <w:adjustRightInd w:val="0"/>
              <w:spacing w:after="0" w:line="240" w:lineRule="auto"/>
              <w:jc w:val="center"/>
              <w:rPr>
                <w:szCs w:val="24"/>
              </w:rPr>
            </w:pPr>
            <w:r>
              <w:rPr>
                <w:szCs w:val="24"/>
              </w:rPr>
              <w:t>0.0761</w:t>
            </w:r>
          </w:p>
        </w:tc>
        <w:tc>
          <w:tcPr>
            <w:tcW w:w="811" w:type="pct"/>
            <w:tcBorders>
              <w:top w:val="nil"/>
              <w:left w:val="nil"/>
              <w:bottom w:val="single" w:sz="6" w:space="0" w:color="auto"/>
              <w:right w:val="nil"/>
            </w:tcBorders>
          </w:tcPr>
          <w:p w14:paraId="1136B471" w14:textId="77777777" w:rsidR="00377443" w:rsidRDefault="00377443" w:rsidP="000972AF">
            <w:pPr>
              <w:widowControl w:val="0"/>
              <w:autoSpaceDE w:val="0"/>
              <w:autoSpaceDN w:val="0"/>
              <w:adjustRightInd w:val="0"/>
              <w:spacing w:after="0" w:line="240" w:lineRule="auto"/>
              <w:jc w:val="center"/>
              <w:rPr>
                <w:szCs w:val="24"/>
              </w:rPr>
            </w:pPr>
            <w:r>
              <w:rPr>
                <w:szCs w:val="24"/>
              </w:rPr>
              <w:t>0.0622</w:t>
            </w:r>
          </w:p>
        </w:tc>
        <w:tc>
          <w:tcPr>
            <w:tcW w:w="608" w:type="pct"/>
            <w:tcBorders>
              <w:top w:val="nil"/>
              <w:left w:val="nil"/>
              <w:bottom w:val="single" w:sz="6" w:space="0" w:color="auto"/>
              <w:right w:val="nil"/>
            </w:tcBorders>
          </w:tcPr>
          <w:p w14:paraId="7AB50E3E" w14:textId="77777777" w:rsidR="00377443" w:rsidRDefault="00377443" w:rsidP="000972AF">
            <w:pPr>
              <w:widowControl w:val="0"/>
              <w:autoSpaceDE w:val="0"/>
              <w:autoSpaceDN w:val="0"/>
              <w:adjustRightInd w:val="0"/>
              <w:spacing w:after="0" w:line="240" w:lineRule="auto"/>
              <w:jc w:val="center"/>
              <w:rPr>
                <w:szCs w:val="24"/>
              </w:rPr>
            </w:pPr>
            <w:r>
              <w:rPr>
                <w:szCs w:val="24"/>
              </w:rPr>
              <w:t>0.0860</w:t>
            </w:r>
          </w:p>
        </w:tc>
      </w:tr>
    </w:tbl>
    <w:p w14:paraId="33D5F2AF" w14:textId="77777777" w:rsidR="00377443" w:rsidRPr="003E6B6C" w:rsidRDefault="00377443" w:rsidP="00377443">
      <w:pPr>
        <w:keepNext/>
        <w:widowControl w:val="0"/>
        <w:autoSpaceDE w:val="0"/>
        <w:autoSpaceDN w:val="0"/>
        <w:adjustRightInd w:val="0"/>
        <w:spacing w:after="0" w:line="240" w:lineRule="auto"/>
        <w:jc w:val="center"/>
        <w:rPr>
          <w:szCs w:val="24"/>
        </w:rPr>
      </w:pPr>
      <w:r w:rsidRPr="003E6B6C">
        <w:rPr>
          <w:szCs w:val="24"/>
        </w:rPr>
        <w:t>Odds ratios. Robust standard errors (clustered over firms) in parentheses.</w:t>
      </w:r>
    </w:p>
    <w:p w14:paraId="31CBF8FE" w14:textId="77777777" w:rsidR="00377443" w:rsidRPr="003E6B6C" w:rsidRDefault="00377443" w:rsidP="00377443">
      <w:pPr>
        <w:widowControl w:val="0"/>
        <w:autoSpaceDE w:val="0"/>
        <w:autoSpaceDN w:val="0"/>
        <w:adjustRightInd w:val="0"/>
        <w:spacing w:after="0" w:line="240" w:lineRule="auto"/>
        <w:jc w:val="center"/>
        <w:rPr>
          <w:szCs w:val="24"/>
        </w:rPr>
      </w:pPr>
      <w:r w:rsidRPr="003E6B6C">
        <w:rPr>
          <w:szCs w:val="24"/>
        </w:rPr>
        <w:t>*** p&lt;.001, ** p&lt;.01, * p&lt;.05, + p&lt;.10</w:t>
      </w:r>
    </w:p>
    <w:p w14:paraId="791C04CF" w14:textId="77777777" w:rsidR="00377443" w:rsidRPr="003E6B6C" w:rsidRDefault="00377443" w:rsidP="00377443">
      <w:pPr>
        <w:widowControl w:val="0"/>
        <w:autoSpaceDE w:val="0"/>
        <w:autoSpaceDN w:val="0"/>
        <w:adjustRightInd w:val="0"/>
        <w:spacing w:after="0" w:line="240" w:lineRule="auto"/>
        <w:jc w:val="center"/>
        <w:rPr>
          <w:szCs w:val="24"/>
        </w:rPr>
      </w:pPr>
    </w:p>
    <w:p w14:paraId="42F15F8D" w14:textId="77777777" w:rsidR="00377443" w:rsidRDefault="00377443" w:rsidP="00377443">
      <w:pPr>
        <w:widowControl w:val="0"/>
        <w:autoSpaceDE w:val="0"/>
        <w:autoSpaceDN w:val="0"/>
        <w:adjustRightInd w:val="0"/>
        <w:spacing w:after="0" w:line="240" w:lineRule="auto"/>
        <w:jc w:val="center"/>
        <w:rPr>
          <w:szCs w:val="24"/>
        </w:rPr>
      </w:pPr>
    </w:p>
    <w:p w14:paraId="40EB82DB" w14:textId="77777777" w:rsidR="00377443" w:rsidRDefault="00377443" w:rsidP="00377443">
      <w:pPr>
        <w:spacing w:line="259" w:lineRule="auto"/>
        <w:rPr>
          <w:rFonts w:ascii="Trebuchet MS" w:hAnsi="Trebuchet MS"/>
          <w:sz w:val="20"/>
        </w:rPr>
      </w:pPr>
      <w:r>
        <w:rPr>
          <w:rFonts w:ascii="Trebuchet MS" w:hAnsi="Trebuchet MS"/>
          <w:sz w:val="20"/>
        </w:rPr>
        <w:br w:type="page"/>
      </w:r>
    </w:p>
    <w:p w14:paraId="1A56D071" w14:textId="77777777" w:rsidR="00377443" w:rsidRPr="00406E9B" w:rsidRDefault="00377443" w:rsidP="00377443">
      <w:pPr>
        <w:spacing w:line="240" w:lineRule="auto"/>
        <w:rPr>
          <w:b/>
        </w:rPr>
      </w:pPr>
      <w:bookmarkStart w:id="0" w:name="_GoBack"/>
      <w:bookmarkEnd w:id="0"/>
      <w:r>
        <w:rPr>
          <w:b/>
          <w:szCs w:val="24"/>
        </w:rPr>
        <w:lastRenderedPageBreak/>
        <w:t>Appendix Table A.5:</w:t>
      </w:r>
      <w:r w:rsidRPr="00406E9B">
        <w:rPr>
          <w:b/>
          <w:szCs w:val="24"/>
        </w:rPr>
        <w:t xml:space="preserve"> Logit regression results, Model 1</w:t>
      </w:r>
      <w:r>
        <w:rPr>
          <w:b/>
          <w:szCs w:val="24"/>
        </w:rPr>
        <w:t xml:space="preserve"> with county fixed effects</w:t>
      </w:r>
    </w:p>
    <w:tbl>
      <w:tblPr>
        <w:tblW w:w="10788" w:type="dxa"/>
        <w:jc w:val="center"/>
        <w:tblLayout w:type="fixed"/>
        <w:tblCellMar>
          <w:left w:w="75" w:type="dxa"/>
          <w:right w:w="75" w:type="dxa"/>
        </w:tblCellMar>
        <w:tblLook w:val="0000" w:firstRow="0" w:lastRow="0" w:firstColumn="0" w:lastColumn="0" w:noHBand="0" w:noVBand="0"/>
      </w:tblPr>
      <w:tblGrid>
        <w:gridCol w:w="3101"/>
        <w:gridCol w:w="1418"/>
        <w:gridCol w:w="1656"/>
        <w:gridCol w:w="1320"/>
        <w:gridCol w:w="1755"/>
        <w:gridCol w:w="1538"/>
      </w:tblGrid>
      <w:tr w:rsidR="00377443" w14:paraId="319780EA" w14:textId="77777777" w:rsidTr="000972AF">
        <w:trPr>
          <w:jc w:val="center"/>
        </w:trPr>
        <w:tc>
          <w:tcPr>
            <w:tcW w:w="3101" w:type="dxa"/>
            <w:tcBorders>
              <w:top w:val="single" w:sz="6" w:space="0" w:color="auto"/>
              <w:left w:val="nil"/>
              <w:bottom w:val="nil"/>
              <w:right w:val="nil"/>
            </w:tcBorders>
          </w:tcPr>
          <w:p w14:paraId="0F873EE5" w14:textId="77777777" w:rsidR="00377443" w:rsidRDefault="00377443" w:rsidP="000972AF">
            <w:pPr>
              <w:widowControl w:val="0"/>
              <w:autoSpaceDE w:val="0"/>
              <w:autoSpaceDN w:val="0"/>
              <w:adjustRightInd w:val="0"/>
              <w:spacing w:after="0" w:line="240" w:lineRule="auto"/>
              <w:rPr>
                <w:szCs w:val="24"/>
              </w:rPr>
            </w:pPr>
          </w:p>
        </w:tc>
        <w:tc>
          <w:tcPr>
            <w:tcW w:w="1418" w:type="dxa"/>
            <w:tcBorders>
              <w:top w:val="single" w:sz="6" w:space="0" w:color="auto"/>
              <w:left w:val="nil"/>
              <w:bottom w:val="nil"/>
              <w:right w:val="nil"/>
            </w:tcBorders>
          </w:tcPr>
          <w:p w14:paraId="52848160" w14:textId="77777777" w:rsidR="00377443" w:rsidRDefault="00377443" w:rsidP="000972AF">
            <w:pPr>
              <w:widowControl w:val="0"/>
              <w:autoSpaceDE w:val="0"/>
              <w:autoSpaceDN w:val="0"/>
              <w:adjustRightInd w:val="0"/>
              <w:spacing w:after="0" w:line="240" w:lineRule="auto"/>
              <w:jc w:val="center"/>
              <w:rPr>
                <w:szCs w:val="24"/>
              </w:rPr>
            </w:pPr>
            <w:r>
              <w:rPr>
                <w:szCs w:val="24"/>
              </w:rPr>
              <w:t>(1)</w:t>
            </w:r>
          </w:p>
        </w:tc>
        <w:tc>
          <w:tcPr>
            <w:tcW w:w="1656" w:type="dxa"/>
            <w:tcBorders>
              <w:top w:val="single" w:sz="6" w:space="0" w:color="auto"/>
              <w:left w:val="nil"/>
              <w:bottom w:val="nil"/>
              <w:right w:val="nil"/>
            </w:tcBorders>
          </w:tcPr>
          <w:p w14:paraId="406423D4" w14:textId="77777777" w:rsidR="00377443" w:rsidRDefault="00377443" w:rsidP="000972AF">
            <w:pPr>
              <w:widowControl w:val="0"/>
              <w:autoSpaceDE w:val="0"/>
              <w:autoSpaceDN w:val="0"/>
              <w:adjustRightInd w:val="0"/>
              <w:spacing w:after="0" w:line="240" w:lineRule="auto"/>
              <w:jc w:val="center"/>
              <w:rPr>
                <w:szCs w:val="24"/>
              </w:rPr>
            </w:pPr>
            <w:r>
              <w:rPr>
                <w:szCs w:val="24"/>
              </w:rPr>
              <w:t>(2)</w:t>
            </w:r>
          </w:p>
        </w:tc>
        <w:tc>
          <w:tcPr>
            <w:tcW w:w="1320" w:type="dxa"/>
            <w:tcBorders>
              <w:top w:val="single" w:sz="6" w:space="0" w:color="auto"/>
              <w:left w:val="nil"/>
              <w:bottom w:val="nil"/>
              <w:right w:val="nil"/>
            </w:tcBorders>
          </w:tcPr>
          <w:p w14:paraId="5CBF61B1" w14:textId="77777777" w:rsidR="00377443" w:rsidRDefault="00377443" w:rsidP="000972AF">
            <w:pPr>
              <w:widowControl w:val="0"/>
              <w:autoSpaceDE w:val="0"/>
              <w:autoSpaceDN w:val="0"/>
              <w:adjustRightInd w:val="0"/>
              <w:spacing w:after="0" w:line="240" w:lineRule="auto"/>
              <w:jc w:val="center"/>
              <w:rPr>
                <w:szCs w:val="24"/>
              </w:rPr>
            </w:pPr>
            <w:r>
              <w:rPr>
                <w:szCs w:val="24"/>
              </w:rPr>
              <w:t>(3)</w:t>
            </w:r>
          </w:p>
        </w:tc>
        <w:tc>
          <w:tcPr>
            <w:tcW w:w="1755" w:type="dxa"/>
            <w:tcBorders>
              <w:top w:val="single" w:sz="6" w:space="0" w:color="auto"/>
              <w:left w:val="nil"/>
              <w:bottom w:val="nil"/>
              <w:right w:val="nil"/>
            </w:tcBorders>
          </w:tcPr>
          <w:p w14:paraId="3513AFCC" w14:textId="77777777" w:rsidR="00377443" w:rsidRDefault="00377443" w:rsidP="000972AF">
            <w:pPr>
              <w:widowControl w:val="0"/>
              <w:autoSpaceDE w:val="0"/>
              <w:autoSpaceDN w:val="0"/>
              <w:adjustRightInd w:val="0"/>
              <w:spacing w:after="0" w:line="240" w:lineRule="auto"/>
              <w:jc w:val="center"/>
              <w:rPr>
                <w:szCs w:val="24"/>
              </w:rPr>
            </w:pPr>
            <w:r>
              <w:rPr>
                <w:szCs w:val="24"/>
              </w:rPr>
              <w:t>(4)</w:t>
            </w:r>
          </w:p>
        </w:tc>
        <w:tc>
          <w:tcPr>
            <w:tcW w:w="1538" w:type="dxa"/>
            <w:tcBorders>
              <w:top w:val="single" w:sz="6" w:space="0" w:color="auto"/>
              <w:left w:val="nil"/>
              <w:bottom w:val="nil"/>
              <w:right w:val="nil"/>
            </w:tcBorders>
          </w:tcPr>
          <w:p w14:paraId="4F4BFF8C" w14:textId="77777777" w:rsidR="00377443" w:rsidRDefault="00377443" w:rsidP="000972AF">
            <w:pPr>
              <w:widowControl w:val="0"/>
              <w:autoSpaceDE w:val="0"/>
              <w:autoSpaceDN w:val="0"/>
              <w:adjustRightInd w:val="0"/>
              <w:spacing w:after="0" w:line="240" w:lineRule="auto"/>
              <w:jc w:val="center"/>
              <w:rPr>
                <w:szCs w:val="24"/>
              </w:rPr>
            </w:pPr>
            <w:r>
              <w:rPr>
                <w:szCs w:val="24"/>
              </w:rPr>
              <w:t>(5)</w:t>
            </w:r>
          </w:p>
        </w:tc>
      </w:tr>
      <w:tr w:rsidR="00377443" w14:paraId="3E5551A2" w14:textId="77777777" w:rsidTr="000972AF">
        <w:trPr>
          <w:jc w:val="center"/>
        </w:trPr>
        <w:tc>
          <w:tcPr>
            <w:tcW w:w="3101" w:type="dxa"/>
            <w:tcBorders>
              <w:top w:val="nil"/>
              <w:left w:val="nil"/>
              <w:bottom w:val="single" w:sz="6" w:space="0" w:color="auto"/>
              <w:right w:val="nil"/>
            </w:tcBorders>
          </w:tcPr>
          <w:p w14:paraId="1C396FCB" w14:textId="77777777" w:rsidR="00377443" w:rsidRDefault="00377443" w:rsidP="000972AF">
            <w:pPr>
              <w:widowControl w:val="0"/>
              <w:autoSpaceDE w:val="0"/>
              <w:autoSpaceDN w:val="0"/>
              <w:adjustRightInd w:val="0"/>
              <w:spacing w:after="0" w:line="240" w:lineRule="auto"/>
              <w:rPr>
                <w:szCs w:val="24"/>
              </w:rPr>
            </w:pPr>
            <w:r>
              <w:rPr>
                <w:szCs w:val="24"/>
              </w:rPr>
              <w:t>VARIABLES</w:t>
            </w:r>
          </w:p>
        </w:tc>
        <w:tc>
          <w:tcPr>
            <w:tcW w:w="1418" w:type="dxa"/>
            <w:tcBorders>
              <w:top w:val="nil"/>
              <w:left w:val="nil"/>
              <w:bottom w:val="single" w:sz="6" w:space="0" w:color="auto"/>
              <w:right w:val="nil"/>
            </w:tcBorders>
          </w:tcPr>
          <w:p w14:paraId="62828FF7" w14:textId="77777777" w:rsidR="00377443" w:rsidRDefault="00377443" w:rsidP="000972AF">
            <w:pPr>
              <w:widowControl w:val="0"/>
              <w:autoSpaceDE w:val="0"/>
              <w:autoSpaceDN w:val="0"/>
              <w:adjustRightInd w:val="0"/>
              <w:spacing w:after="0" w:line="240" w:lineRule="auto"/>
              <w:jc w:val="center"/>
              <w:rPr>
                <w:szCs w:val="24"/>
              </w:rPr>
            </w:pPr>
            <w:r>
              <w:rPr>
                <w:szCs w:val="24"/>
              </w:rPr>
              <w:t>Product innovation</w:t>
            </w:r>
          </w:p>
        </w:tc>
        <w:tc>
          <w:tcPr>
            <w:tcW w:w="1656" w:type="dxa"/>
            <w:tcBorders>
              <w:top w:val="nil"/>
              <w:left w:val="nil"/>
              <w:bottom w:val="single" w:sz="6" w:space="0" w:color="auto"/>
              <w:right w:val="nil"/>
            </w:tcBorders>
          </w:tcPr>
          <w:p w14:paraId="45D9F309" w14:textId="77777777" w:rsidR="00377443" w:rsidRDefault="00377443" w:rsidP="000972AF">
            <w:pPr>
              <w:widowControl w:val="0"/>
              <w:autoSpaceDE w:val="0"/>
              <w:autoSpaceDN w:val="0"/>
              <w:adjustRightInd w:val="0"/>
              <w:spacing w:after="0" w:line="240" w:lineRule="auto"/>
              <w:jc w:val="center"/>
              <w:rPr>
                <w:szCs w:val="24"/>
              </w:rPr>
            </w:pPr>
            <w:r>
              <w:rPr>
                <w:szCs w:val="24"/>
              </w:rPr>
              <w:t>New-to-market innovation</w:t>
            </w:r>
          </w:p>
        </w:tc>
        <w:tc>
          <w:tcPr>
            <w:tcW w:w="1320" w:type="dxa"/>
            <w:tcBorders>
              <w:top w:val="nil"/>
              <w:left w:val="nil"/>
              <w:bottom w:val="single" w:sz="6" w:space="0" w:color="auto"/>
              <w:right w:val="nil"/>
            </w:tcBorders>
          </w:tcPr>
          <w:p w14:paraId="554D8738" w14:textId="77777777" w:rsidR="00377443" w:rsidRDefault="00377443" w:rsidP="000972AF">
            <w:pPr>
              <w:widowControl w:val="0"/>
              <w:autoSpaceDE w:val="0"/>
              <w:autoSpaceDN w:val="0"/>
              <w:adjustRightInd w:val="0"/>
              <w:spacing w:after="0" w:line="240" w:lineRule="auto"/>
              <w:jc w:val="center"/>
              <w:rPr>
                <w:szCs w:val="24"/>
              </w:rPr>
            </w:pPr>
            <w:r>
              <w:rPr>
                <w:szCs w:val="24"/>
              </w:rPr>
              <w:t>Process innovation</w:t>
            </w:r>
          </w:p>
        </w:tc>
        <w:tc>
          <w:tcPr>
            <w:tcW w:w="1755" w:type="dxa"/>
            <w:tcBorders>
              <w:top w:val="nil"/>
              <w:left w:val="nil"/>
              <w:bottom w:val="single" w:sz="6" w:space="0" w:color="auto"/>
              <w:right w:val="nil"/>
            </w:tcBorders>
          </w:tcPr>
          <w:p w14:paraId="1A495F37" w14:textId="77777777" w:rsidR="00377443" w:rsidRDefault="00377443" w:rsidP="000972AF">
            <w:pPr>
              <w:widowControl w:val="0"/>
              <w:autoSpaceDE w:val="0"/>
              <w:autoSpaceDN w:val="0"/>
              <w:adjustRightInd w:val="0"/>
              <w:spacing w:after="0" w:line="240" w:lineRule="auto"/>
              <w:jc w:val="center"/>
              <w:rPr>
                <w:szCs w:val="24"/>
              </w:rPr>
            </w:pPr>
            <w:r>
              <w:rPr>
                <w:szCs w:val="24"/>
              </w:rPr>
              <w:t>Organisational innovation</w:t>
            </w:r>
          </w:p>
        </w:tc>
        <w:tc>
          <w:tcPr>
            <w:tcW w:w="1538" w:type="dxa"/>
            <w:tcBorders>
              <w:top w:val="nil"/>
              <w:left w:val="nil"/>
              <w:bottom w:val="single" w:sz="6" w:space="0" w:color="auto"/>
              <w:right w:val="nil"/>
            </w:tcBorders>
          </w:tcPr>
          <w:p w14:paraId="0BD67BBA" w14:textId="77777777" w:rsidR="00377443" w:rsidRDefault="00377443" w:rsidP="000972AF">
            <w:pPr>
              <w:widowControl w:val="0"/>
              <w:autoSpaceDE w:val="0"/>
              <w:autoSpaceDN w:val="0"/>
              <w:adjustRightInd w:val="0"/>
              <w:spacing w:after="0" w:line="240" w:lineRule="auto"/>
              <w:jc w:val="center"/>
              <w:rPr>
                <w:szCs w:val="24"/>
              </w:rPr>
            </w:pPr>
            <w:r>
              <w:rPr>
                <w:szCs w:val="24"/>
              </w:rPr>
              <w:t>Marketing innovation</w:t>
            </w:r>
          </w:p>
        </w:tc>
      </w:tr>
      <w:tr w:rsidR="00377443" w14:paraId="350CCC79" w14:textId="77777777" w:rsidTr="000972AF">
        <w:trPr>
          <w:jc w:val="center"/>
        </w:trPr>
        <w:tc>
          <w:tcPr>
            <w:tcW w:w="3101" w:type="dxa"/>
            <w:tcBorders>
              <w:top w:val="nil"/>
              <w:left w:val="nil"/>
              <w:bottom w:val="nil"/>
              <w:right w:val="nil"/>
            </w:tcBorders>
          </w:tcPr>
          <w:p w14:paraId="6A297D21" w14:textId="77777777" w:rsidR="00377443" w:rsidRDefault="00377443" w:rsidP="000972AF">
            <w:pPr>
              <w:widowControl w:val="0"/>
              <w:autoSpaceDE w:val="0"/>
              <w:autoSpaceDN w:val="0"/>
              <w:adjustRightInd w:val="0"/>
              <w:spacing w:after="0" w:line="240" w:lineRule="auto"/>
              <w:rPr>
                <w:szCs w:val="24"/>
              </w:rPr>
            </w:pPr>
          </w:p>
        </w:tc>
        <w:tc>
          <w:tcPr>
            <w:tcW w:w="1418" w:type="dxa"/>
            <w:tcBorders>
              <w:top w:val="nil"/>
              <w:left w:val="nil"/>
              <w:bottom w:val="nil"/>
              <w:right w:val="nil"/>
            </w:tcBorders>
          </w:tcPr>
          <w:p w14:paraId="54B24D8D" w14:textId="77777777" w:rsidR="00377443" w:rsidRDefault="00377443" w:rsidP="000972AF">
            <w:pPr>
              <w:widowControl w:val="0"/>
              <w:autoSpaceDE w:val="0"/>
              <w:autoSpaceDN w:val="0"/>
              <w:adjustRightInd w:val="0"/>
              <w:spacing w:after="0" w:line="240" w:lineRule="auto"/>
              <w:jc w:val="center"/>
              <w:rPr>
                <w:szCs w:val="24"/>
              </w:rPr>
            </w:pPr>
          </w:p>
        </w:tc>
        <w:tc>
          <w:tcPr>
            <w:tcW w:w="1656" w:type="dxa"/>
            <w:tcBorders>
              <w:top w:val="nil"/>
              <w:left w:val="nil"/>
              <w:bottom w:val="nil"/>
              <w:right w:val="nil"/>
            </w:tcBorders>
          </w:tcPr>
          <w:p w14:paraId="57561002" w14:textId="77777777" w:rsidR="00377443" w:rsidRDefault="00377443" w:rsidP="000972AF">
            <w:pPr>
              <w:widowControl w:val="0"/>
              <w:autoSpaceDE w:val="0"/>
              <w:autoSpaceDN w:val="0"/>
              <w:adjustRightInd w:val="0"/>
              <w:spacing w:after="0" w:line="240" w:lineRule="auto"/>
              <w:jc w:val="center"/>
              <w:rPr>
                <w:szCs w:val="24"/>
              </w:rPr>
            </w:pPr>
          </w:p>
        </w:tc>
        <w:tc>
          <w:tcPr>
            <w:tcW w:w="1320" w:type="dxa"/>
            <w:tcBorders>
              <w:top w:val="nil"/>
              <w:left w:val="nil"/>
              <w:bottom w:val="nil"/>
              <w:right w:val="nil"/>
            </w:tcBorders>
          </w:tcPr>
          <w:p w14:paraId="1BB10B40" w14:textId="77777777" w:rsidR="00377443" w:rsidRDefault="00377443" w:rsidP="000972AF">
            <w:pPr>
              <w:widowControl w:val="0"/>
              <w:autoSpaceDE w:val="0"/>
              <w:autoSpaceDN w:val="0"/>
              <w:adjustRightInd w:val="0"/>
              <w:spacing w:after="0" w:line="240" w:lineRule="auto"/>
              <w:jc w:val="center"/>
              <w:rPr>
                <w:szCs w:val="24"/>
              </w:rPr>
            </w:pPr>
          </w:p>
        </w:tc>
        <w:tc>
          <w:tcPr>
            <w:tcW w:w="1755" w:type="dxa"/>
            <w:tcBorders>
              <w:top w:val="nil"/>
              <w:left w:val="nil"/>
              <w:bottom w:val="nil"/>
              <w:right w:val="nil"/>
            </w:tcBorders>
          </w:tcPr>
          <w:p w14:paraId="720946A7" w14:textId="77777777" w:rsidR="00377443" w:rsidRDefault="00377443" w:rsidP="000972AF">
            <w:pPr>
              <w:widowControl w:val="0"/>
              <w:autoSpaceDE w:val="0"/>
              <w:autoSpaceDN w:val="0"/>
              <w:adjustRightInd w:val="0"/>
              <w:spacing w:after="0" w:line="240" w:lineRule="auto"/>
              <w:jc w:val="center"/>
              <w:rPr>
                <w:szCs w:val="24"/>
              </w:rPr>
            </w:pPr>
          </w:p>
        </w:tc>
        <w:tc>
          <w:tcPr>
            <w:tcW w:w="1538" w:type="dxa"/>
            <w:tcBorders>
              <w:top w:val="nil"/>
              <w:left w:val="nil"/>
              <w:bottom w:val="nil"/>
              <w:right w:val="nil"/>
            </w:tcBorders>
          </w:tcPr>
          <w:p w14:paraId="68E85B8B" w14:textId="77777777" w:rsidR="00377443" w:rsidRDefault="00377443" w:rsidP="000972AF">
            <w:pPr>
              <w:widowControl w:val="0"/>
              <w:autoSpaceDE w:val="0"/>
              <w:autoSpaceDN w:val="0"/>
              <w:adjustRightInd w:val="0"/>
              <w:spacing w:after="0" w:line="240" w:lineRule="auto"/>
              <w:jc w:val="center"/>
              <w:rPr>
                <w:szCs w:val="24"/>
              </w:rPr>
            </w:pPr>
          </w:p>
        </w:tc>
      </w:tr>
      <w:tr w:rsidR="00377443" w14:paraId="4DC7B200" w14:textId="77777777" w:rsidTr="000972AF">
        <w:trPr>
          <w:jc w:val="center"/>
        </w:trPr>
        <w:tc>
          <w:tcPr>
            <w:tcW w:w="3101" w:type="dxa"/>
            <w:tcBorders>
              <w:top w:val="nil"/>
              <w:left w:val="nil"/>
              <w:bottom w:val="nil"/>
              <w:right w:val="nil"/>
            </w:tcBorders>
          </w:tcPr>
          <w:p w14:paraId="470D03CA" w14:textId="77777777" w:rsidR="00377443" w:rsidRDefault="00377443" w:rsidP="000972AF">
            <w:pPr>
              <w:widowControl w:val="0"/>
              <w:autoSpaceDE w:val="0"/>
              <w:autoSpaceDN w:val="0"/>
              <w:adjustRightInd w:val="0"/>
              <w:spacing w:after="0" w:line="240" w:lineRule="auto"/>
              <w:rPr>
                <w:szCs w:val="24"/>
              </w:rPr>
            </w:pPr>
            <w:r>
              <w:rPr>
                <w:szCs w:val="24"/>
              </w:rPr>
              <w:t>Regional partners</w:t>
            </w:r>
          </w:p>
        </w:tc>
        <w:tc>
          <w:tcPr>
            <w:tcW w:w="1418" w:type="dxa"/>
            <w:tcBorders>
              <w:top w:val="nil"/>
              <w:left w:val="nil"/>
              <w:bottom w:val="nil"/>
              <w:right w:val="nil"/>
            </w:tcBorders>
          </w:tcPr>
          <w:p w14:paraId="5957414F" w14:textId="77777777" w:rsidR="00377443" w:rsidRDefault="00377443" w:rsidP="000972AF">
            <w:pPr>
              <w:widowControl w:val="0"/>
              <w:autoSpaceDE w:val="0"/>
              <w:autoSpaceDN w:val="0"/>
              <w:adjustRightInd w:val="0"/>
              <w:spacing w:after="0" w:line="240" w:lineRule="auto"/>
              <w:jc w:val="center"/>
              <w:rPr>
                <w:szCs w:val="24"/>
              </w:rPr>
            </w:pPr>
            <w:r>
              <w:rPr>
                <w:szCs w:val="24"/>
              </w:rPr>
              <w:t>0.99</w:t>
            </w:r>
          </w:p>
        </w:tc>
        <w:tc>
          <w:tcPr>
            <w:tcW w:w="1656" w:type="dxa"/>
            <w:tcBorders>
              <w:top w:val="nil"/>
              <w:left w:val="nil"/>
              <w:bottom w:val="nil"/>
              <w:right w:val="nil"/>
            </w:tcBorders>
          </w:tcPr>
          <w:p w14:paraId="0371673E" w14:textId="77777777" w:rsidR="00377443" w:rsidRDefault="00377443" w:rsidP="000972AF">
            <w:pPr>
              <w:widowControl w:val="0"/>
              <w:autoSpaceDE w:val="0"/>
              <w:autoSpaceDN w:val="0"/>
              <w:adjustRightInd w:val="0"/>
              <w:spacing w:after="0" w:line="240" w:lineRule="auto"/>
              <w:jc w:val="center"/>
              <w:rPr>
                <w:szCs w:val="24"/>
              </w:rPr>
            </w:pPr>
            <w:r>
              <w:rPr>
                <w:szCs w:val="24"/>
              </w:rPr>
              <w:t>1.00</w:t>
            </w:r>
          </w:p>
        </w:tc>
        <w:tc>
          <w:tcPr>
            <w:tcW w:w="1320" w:type="dxa"/>
            <w:tcBorders>
              <w:top w:val="nil"/>
              <w:left w:val="nil"/>
              <w:bottom w:val="nil"/>
              <w:right w:val="nil"/>
            </w:tcBorders>
          </w:tcPr>
          <w:p w14:paraId="30926C72" w14:textId="77777777" w:rsidR="00377443" w:rsidRDefault="00377443" w:rsidP="000972AF">
            <w:pPr>
              <w:widowControl w:val="0"/>
              <w:autoSpaceDE w:val="0"/>
              <w:autoSpaceDN w:val="0"/>
              <w:adjustRightInd w:val="0"/>
              <w:spacing w:after="0" w:line="240" w:lineRule="auto"/>
              <w:jc w:val="center"/>
              <w:rPr>
                <w:szCs w:val="24"/>
              </w:rPr>
            </w:pPr>
            <w:r>
              <w:rPr>
                <w:szCs w:val="24"/>
              </w:rPr>
              <w:t>1.07*</w:t>
            </w:r>
          </w:p>
        </w:tc>
        <w:tc>
          <w:tcPr>
            <w:tcW w:w="1755" w:type="dxa"/>
            <w:tcBorders>
              <w:top w:val="nil"/>
              <w:left w:val="nil"/>
              <w:bottom w:val="nil"/>
              <w:right w:val="nil"/>
            </w:tcBorders>
          </w:tcPr>
          <w:p w14:paraId="7C5730B8" w14:textId="77777777" w:rsidR="00377443" w:rsidRDefault="00377443" w:rsidP="000972AF">
            <w:pPr>
              <w:widowControl w:val="0"/>
              <w:autoSpaceDE w:val="0"/>
              <w:autoSpaceDN w:val="0"/>
              <w:adjustRightInd w:val="0"/>
              <w:spacing w:after="0" w:line="240" w:lineRule="auto"/>
              <w:jc w:val="center"/>
              <w:rPr>
                <w:szCs w:val="24"/>
              </w:rPr>
            </w:pPr>
            <w:r>
              <w:rPr>
                <w:szCs w:val="24"/>
              </w:rPr>
              <w:t>1.14***</w:t>
            </w:r>
          </w:p>
        </w:tc>
        <w:tc>
          <w:tcPr>
            <w:tcW w:w="1538" w:type="dxa"/>
            <w:tcBorders>
              <w:top w:val="nil"/>
              <w:left w:val="nil"/>
              <w:bottom w:val="nil"/>
              <w:right w:val="nil"/>
            </w:tcBorders>
          </w:tcPr>
          <w:p w14:paraId="37F504D8" w14:textId="77777777" w:rsidR="00377443" w:rsidRDefault="00377443" w:rsidP="000972AF">
            <w:pPr>
              <w:widowControl w:val="0"/>
              <w:autoSpaceDE w:val="0"/>
              <w:autoSpaceDN w:val="0"/>
              <w:adjustRightInd w:val="0"/>
              <w:spacing w:after="0" w:line="240" w:lineRule="auto"/>
              <w:jc w:val="center"/>
              <w:rPr>
                <w:szCs w:val="24"/>
              </w:rPr>
            </w:pPr>
            <w:r>
              <w:rPr>
                <w:szCs w:val="24"/>
              </w:rPr>
              <w:t>1.04</w:t>
            </w:r>
          </w:p>
        </w:tc>
      </w:tr>
      <w:tr w:rsidR="00377443" w14:paraId="2AE71E2B" w14:textId="77777777" w:rsidTr="000972AF">
        <w:trPr>
          <w:jc w:val="center"/>
        </w:trPr>
        <w:tc>
          <w:tcPr>
            <w:tcW w:w="3101" w:type="dxa"/>
            <w:tcBorders>
              <w:top w:val="nil"/>
              <w:left w:val="nil"/>
              <w:bottom w:val="nil"/>
              <w:right w:val="nil"/>
            </w:tcBorders>
          </w:tcPr>
          <w:p w14:paraId="01049A8C" w14:textId="77777777" w:rsidR="00377443" w:rsidRDefault="00377443" w:rsidP="000972AF">
            <w:pPr>
              <w:widowControl w:val="0"/>
              <w:autoSpaceDE w:val="0"/>
              <w:autoSpaceDN w:val="0"/>
              <w:adjustRightInd w:val="0"/>
              <w:spacing w:after="0" w:line="240" w:lineRule="auto"/>
              <w:rPr>
                <w:szCs w:val="24"/>
              </w:rPr>
            </w:pPr>
          </w:p>
        </w:tc>
        <w:tc>
          <w:tcPr>
            <w:tcW w:w="1418" w:type="dxa"/>
            <w:tcBorders>
              <w:top w:val="nil"/>
              <w:left w:val="nil"/>
              <w:bottom w:val="nil"/>
              <w:right w:val="nil"/>
            </w:tcBorders>
          </w:tcPr>
          <w:p w14:paraId="28A99998" w14:textId="77777777" w:rsidR="00377443" w:rsidRDefault="00377443" w:rsidP="000972AF">
            <w:pPr>
              <w:widowControl w:val="0"/>
              <w:autoSpaceDE w:val="0"/>
              <w:autoSpaceDN w:val="0"/>
              <w:adjustRightInd w:val="0"/>
              <w:spacing w:after="0" w:line="240" w:lineRule="auto"/>
              <w:jc w:val="center"/>
              <w:rPr>
                <w:szCs w:val="24"/>
              </w:rPr>
            </w:pPr>
            <w:r>
              <w:rPr>
                <w:szCs w:val="24"/>
              </w:rPr>
              <w:t>(0.03)</w:t>
            </w:r>
          </w:p>
        </w:tc>
        <w:tc>
          <w:tcPr>
            <w:tcW w:w="1656" w:type="dxa"/>
            <w:tcBorders>
              <w:top w:val="nil"/>
              <w:left w:val="nil"/>
              <w:bottom w:val="nil"/>
              <w:right w:val="nil"/>
            </w:tcBorders>
          </w:tcPr>
          <w:p w14:paraId="0D76208F" w14:textId="77777777" w:rsidR="00377443" w:rsidRDefault="00377443" w:rsidP="000972AF">
            <w:pPr>
              <w:widowControl w:val="0"/>
              <w:autoSpaceDE w:val="0"/>
              <w:autoSpaceDN w:val="0"/>
              <w:adjustRightInd w:val="0"/>
              <w:spacing w:after="0" w:line="240" w:lineRule="auto"/>
              <w:jc w:val="center"/>
              <w:rPr>
                <w:szCs w:val="24"/>
              </w:rPr>
            </w:pPr>
            <w:r>
              <w:rPr>
                <w:szCs w:val="24"/>
              </w:rPr>
              <w:t>(0.03)</w:t>
            </w:r>
          </w:p>
        </w:tc>
        <w:tc>
          <w:tcPr>
            <w:tcW w:w="1320" w:type="dxa"/>
            <w:tcBorders>
              <w:top w:val="nil"/>
              <w:left w:val="nil"/>
              <w:bottom w:val="nil"/>
              <w:right w:val="nil"/>
            </w:tcBorders>
          </w:tcPr>
          <w:p w14:paraId="07CBBFBE" w14:textId="77777777" w:rsidR="00377443" w:rsidRDefault="00377443" w:rsidP="000972AF">
            <w:pPr>
              <w:widowControl w:val="0"/>
              <w:autoSpaceDE w:val="0"/>
              <w:autoSpaceDN w:val="0"/>
              <w:adjustRightInd w:val="0"/>
              <w:spacing w:after="0" w:line="240" w:lineRule="auto"/>
              <w:jc w:val="center"/>
              <w:rPr>
                <w:szCs w:val="24"/>
              </w:rPr>
            </w:pPr>
            <w:r>
              <w:rPr>
                <w:szCs w:val="24"/>
              </w:rPr>
              <w:t>(0.03)</w:t>
            </w:r>
          </w:p>
        </w:tc>
        <w:tc>
          <w:tcPr>
            <w:tcW w:w="1755" w:type="dxa"/>
            <w:tcBorders>
              <w:top w:val="nil"/>
              <w:left w:val="nil"/>
              <w:bottom w:val="nil"/>
              <w:right w:val="nil"/>
            </w:tcBorders>
          </w:tcPr>
          <w:p w14:paraId="2E87972E" w14:textId="77777777" w:rsidR="00377443" w:rsidRDefault="00377443" w:rsidP="000972AF">
            <w:pPr>
              <w:widowControl w:val="0"/>
              <w:autoSpaceDE w:val="0"/>
              <w:autoSpaceDN w:val="0"/>
              <w:adjustRightInd w:val="0"/>
              <w:spacing w:after="0" w:line="240" w:lineRule="auto"/>
              <w:jc w:val="center"/>
              <w:rPr>
                <w:szCs w:val="24"/>
              </w:rPr>
            </w:pPr>
            <w:r>
              <w:rPr>
                <w:szCs w:val="24"/>
              </w:rPr>
              <w:t>(0.03)</w:t>
            </w:r>
          </w:p>
        </w:tc>
        <w:tc>
          <w:tcPr>
            <w:tcW w:w="1538" w:type="dxa"/>
            <w:tcBorders>
              <w:top w:val="nil"/>
              <w:left w:val="nil"/>
              <w:bottom w:val="nil"/>
              <w:right w:val="nil"/>
            </w:tcBorders>
          </w:tcPr>
          <w:p w14:paraId="22BF95EB" w14:textId="77777777" w:rsidR="00377443" w:rsidRDefault="00377443" w:rsidP="000972AF">
            <w:pPr>
              <w:widowControl w:val="0"/>
              <w:autoSpaceDE w:val="0"/>
              <w:autoSpaceDN w:val="0"/>
              <w:adjustRightInd w:val="0"/>
              <w:spacing w:after="0" w:line="240" w:lineRule="auto"/>
              <w:jc w:val="center"/>
              <w:rPr>
                <w:szCs w:val="24"/>
              </w:rPr>
            </w:pPr>
            <w:r>
              <w:rPr>
                <w:szCs w:val="24"/>
              </w:rPr>
              <w:t>(0.03)</w:t>
            </w:r>
          </w:p>
        </w:tc>
      </w:tr>
      <w:tr w:rsidR="00377443" w14:paraId="502180CB" w14:textId="77777777" w:rsidTr="000972AF">
        <w:trPr>
          <w:jc w:val="center"/>
        </w:trPr>
        <w:tc>
          <w:tcPr>
            <w:tcW w:w="3101" w:type="dxa"/>
            <w:tcBorders>
              <w:top w:val="nil"/>
              <w:left w:val="nil"/>
              <w:bottom w:val="nil"/>
              <w:right w:val="nil"/>
            </w:tcBorders>
          </w:tcPr>
          <w:p w14:paraId="7F7D25E1" w14:textId="77777777" w:rsidR="00377443" w:rsidRDefault="00377443" w:rsidP="000972AF">
            <w:pPr>
              <w:widowControl w:val="0"/>
              <w:autoSpaceDE w:val="0"/>
              <w:autoSpaceDN w:val="0"/>
              <w:adjustRightInd w:val="0"/>
              <w:spacing w:after="0" w:line="240" w:lineRule="auto"/>
              <w:rPr>
                <w:szCs w:val="24"/>
              </w:rPr>
            </w:pPr>
            <w:r>
              <w:rPr>
                <w:szCs w:val="24"/>
              </w:rPr>
              <w:t>National partners</w:t>
            </w:r>
          </w:p>
        </w:tc>
        <w:tc>
          <w:tcPr>
            <w:tcW w:w="1418" w:type="dxa"/>
            <w:tcBorders>
              <w:top w:val="nil"/>
              <w:left w:val="nil"/>
              <w:bottom w:val="nil"/>
              <w:right w:val="nil"/>
            </w:tcBorders>
          </w:tcPr>
          <w:p w14:paraId="7F233184" w14:textId="77777777" w:rsidR="00377443" w:rsidRDefault="00377443" w:rsidP="000972AF">
            <w:pPr>
              <w:widowControl w:val="0"/>
              <w:autoSpaceDE w:val="0"/>
              <w:autoSpaceDN w:val="0"/>
              <w:adjustRightInd w:val="0"/>
              <w:spacing w:after="0" w:line="240" w:lineRule="auto"/>
              <w:jc w:val="center"/>
              <w:rPr>
                <w:szCs w:val="24"/>
              </w:rPr>
            </w:pPr>
            <w:r>
              <w:rPr>
                <w:szCs w:val="24"/>
              </w:rPr>
              <w:t>1.01</w:t>
            </w:r>
          </w:p>
        </w:tc>
        <w:tc>
          <w:tcPr>
            <w:tcW w:w="1656" w:type="dxa"/>
            <w:tcBorders>
              <w:top w:val="nil"/>
              <w:left w:val="nil"/>
              <w:bottom w:val="nil"/>
              <w:right w:val="nil"/>
            </w:tcBorders>
          </w:tcPr>
          <w:p w14:paraId="042F9875" w14:textId="77777777" w:rsidR="00377443" w:rsidRDefault="00377443" w:rsidP="000972AF">
            <w:pPr>
              <w:widowControl w:val="0"/>
              <w:autoSpaceDE w:val="0"/>
              <w:autoSpaceDN w:val="0"/>
              <w:adjustRightInd w:val="0"/>
              <w:spacing w:after="0" w:line="240" w:lineRule="auto"/>
              <w:jc w:val="center"/>
              <w:rPr>
                <w:szCs w:val="24"/>
              </w:rPr>
            </w:pPr>
            <w:r>
              <w:rPr>
                <w:szCs w:val="24"/>
              </w:rPr>
              <w:t>1.03</w:t>
            </w:r>
          </w:p>
        </w:tc>
        <w:tc>
          <w:tcPr>
            <w:tcW w:w="1320" w:type="dxa"/>
            <w:tcBorders>
              <w:top w:val="nil"/>
              <w:left w:val="nil"/>
              <w:bottom w:val="nil"/>
              <w:right w:val="nil"/>
            </w:tcBorders>
          </w:tcPr>
          <w:p w14:paraId="30F86B97" w14:textId="77777777" w:rsidR="00377443" w:rsidRDefault="00377443" w:rsidP="000972AF">
            <w:pPr>
              <w:widowControl w:val="0"/>
              <w:autoSpaceDE w:val="0"/>
              <w:autoSpaceDN w:val="0"/>
              <w:adjustRightInd w:val="0"/>
              <w:spacing w:after="0" w:line="240" w:lineRule="auto"/>
              <w:jc w:val="center"/>
              <w:rPr>
                <w:szCs w:val="24"/>
              </w:rPr>
            </w:pPr>
            <w:r>
              <w:rPr>
                <w:szCs w:val="24"/>
              </w:rPr>
              <w:t>0.99</w:t>
            </w:r>
          </w:p>
        </w:tc>
        <w:tc>
          <w:tcPr>
            <w:tcW w:w="1755" w:type="dxa"/>
            <w:tcBorders>
              <w:top w:val="nil"/>
              <w:left w:val="nil"/>
              <w:bottom w:val="nil"/>
              <w:right w:val="nil"/>
            </w:tcBorders>
          </w:tcPr>
          <w:p w14:paraId="45444457" w14:textId="77777777" w:rsidR="00377443" w:rsidRDefault="00377443" w:rsidP="000972AF">
            <w:pPr>
              <w:widowControl w:val="0"/>
              <w:autoSpaceDE w:val="0"/>
              <w:autoSpaceDN w:val="0"/>
              <w:adjustRightInd w:val="0"/>
              <w:spacing w:after="0" w:line="240" w:lineRule="auto"/>
              <w:jc w:val="center"/>
              <w:rPr>
                <w:szCs w:val="24"/>
              </w:rPr>
            </w:pPr>
            <w:r>
              <w:rPr>
                <w:szCs w:val="24"/>
              </w:rPr>
              <w:t>1.03</w:t>
            </w:r>
          </w:p>
        </w:tc>
        <w:tc>
          <w:tcPr>
            <w:tcW w:w="1538" w:type="dxa"/>
            <w:tcBorders>
              <w:top w:val="nil"/>
              <w:left w:val="nil"/>
              <w:bottom w:val="nil"/>
              <w:right w:val="nil"/>
            </w:tcBorders>
          </w:tcPr>
          <w:p w14:paraId="66FE9831" w14:textId="77777777" w:rsidR="00377443" w:rsidRDefault="00377443" w:rsidP="000972AF">
            <w:pPr>
              <w:widowControl w:val="0"/>
              <w:autoSpaceDE w:val="0"/>
              <w:autoSpaceDN w:val="0"/>
              <w:adjustRightInd w:val="0"/>
              <w:spacing w:after="0" w:line="240" w:lineRule="auto"/>
              <w:jc w:val="center"/>
              <w:rPr>
                <w:szCs w:val="24"/>
              </w:rPr>
            </w:pPr>
            <w:r>
              <w:rPr>
                <w:szCs w:val="24"/>
              </w:rPr>
              <w:t>0.98</w:t>
            </w:r>
          </w:p>
        </w:tc>
      </w:tr>
      <w:tr w:rsidR="00377443" w14:paraId="6C332D3F" w14:textId="77777777" w:rsidTr="000972AF">
        <w:trPr>
          <w:jc w:val="center"/>
        </w:trPr>
        <w:tc>
          <w:tcPr>
            <w:tcW w:w="3101" w:type="dxa"/>
            <w:tcBorders>
              <w:top w:val="nil"/>
              <w:left w:val="nil"/>
              <w:bottom w:val="nil"/>
              <w:right w:val="nil"/>
            </w:tcBorders>
          </w:tcPr>
          <w:p w14:paraId="3056C24A" w14:textId="77777777" w:rsidR="00377443" w:rsidRDefault="00377443" w:rsidP="000972AF">
            <w:pPr>
              <w:widowControl w:val="0"/>
              <w:autoSpaceDE w:val="0"/>
              <w:autoSpaceDN w:val="0"/>
              <w:adjustRightInd w:val="0"/>
              <w:spacing w:after="0" w:line="240" w:lineRule="auto"/>
              <w:rPr>
                <w:szCs w:val="24"/>
              </w:rPr>
            </w:pPr>
          </w:p>
        </w:tc>
        <w:tc>
          <w:tcPr>
            <w:tcW w:w="1418" w:type="dxa"/>
            <w:tcBorders>
              <w:top w:val="nil"/>
              <w:left w:val="nil"/>
              <w:bottom w:val="nil"/>
              <w:right w:val="nil"/>
            </w:tcBorders>
          </w:tcPr>
          <w:p w14:paraId="0B6862DC" w14:textId="77777777" w:rsidR="00377443" w:rsidRDefault="00377443" w:rsidP="000972AF">
            <w:pPr>
              <w:widowControl w:val="0"/>
              <w:autoSpaceDE w:val="0"/>
              <w:autoSpaceDN w:val="0"/>
              <w:adjustRightInd w:val="0"/>
              <w:spacing w:after="0" w:line="240" w:lineRule="auto"/>
              <w:jc w:val="center"/>
              <w:rPr>
                <w:szCs w:val="24"/>
              </w:rPr>
            </w:pPr>
            <w:r>
              <w:rPr>
                <w:szCs w:val="24"/>
              </w:rPr>
              <w:t>(0.03)</w:t>
            </w:r>
          </w:p>
        </w:tc>
        <w:tc>
          <w:tcPr>
            <w:tcW w:w="1656" w:type="dxa"/>
            <w:tcBorders>
              <w:top w:val="nil"/>
              <w:left w:val="nil"/>
              <w:bottom w:val="nil"/>
              <w:right w:val="nil"/>
            </w:tcBorders>
          </w:tcPr>
          <w:p w14:paraId="3EA53A75" w14:textId="77777777" w:rsidR="00377443" w:rsidRDefault="00377443" w:rsidP="000972AF">
            <w:pPr>
              <w:widowControl w:val="0"/>
              <w:autoSpaceDE w:val="0"/>
              <w:autoSpaceDN w:val="0"/>
              <w:adjustRightInd w:val="0"/>
              <w:spacing w:after="0" w:line="240" w:lineRule="auto"/>
              <w:jc w:val="center"/>
              <w:rPr>
                <w:szCs w:val="24"/>
              </w:rPr>
            </w:pPr>
            <w:r>
              <w:rPr>
                <w:szCs w:val="24"/>
              </w:rPr>
              <w:t>(0.03)</w:t>
            </w:r>
          </w:p>
        </w:tc>
        <w:tc>
          <w:tcPr>
            <w:tcW w:w="1320" w:type="dxa"/>
            <w:tcBorders>
              <w:top w:val="nil"/>
              <w:left w:val="nil"/>
              <w:bottom w:val="nil"/>
              <w:right w:val="nil"/>
            </w:tcBorders>
          </w:tcPr>
          <w:p w14:paraId="63C07E9B" w14:textId="77777777" w:rsidR="00377443" w:rsidRDefault="00377443" w:rsidP="000972AF">
            <w:pPr>
              <w:widowControl w:val="0"/>
              <w:autoSpaceDE w:val="0"/>
              <w:autoSpaceDN w:val="0"/>
              <w:adjustRightInd w:val="0"/>
              <w:spacing w:after="0" w:line="240" w:lineRule="auto"/>
              <w:jc w:val="center"/>
              <w:rPr>
                <w:szCs w:val="24"/>
              </w:rPr>
            </w:pPr>
            <w:r>
              <w:rPr>
                <w:szCs w:val="24"/>
              </w:rPr>
              <w:t>(0.03)</w:t>
            </w:r>
          </w:p>
        </w:tc>
        <w:tc>
          <w:tcPr>
            <w:tcW w:w="1755" w:type="dxa"/>
            <w:tcBorders>
              <w:top w:val="nil"/>
              <w:left w:val="nil"/>
              <w:bottom w:val="nil"/>
              <w:right w:val="nil"/>
            </w:tcBorders>
          </w:tcPr>
          <w:p w14:paraId="6AC5F3EC" w14:textId="77777777" w:rsidR="00377443" w:rsidRDefault="00377443" w:rsidP="000972AF">
            <w:pPr>
              <w:widowControl w:val="0"/>
              <w:autoSpaceDE w:val="0"/>
              <w:autoSpaceDN w:val="0"/>
              <w:adjustRightInd w:val="0"/>
              <w:spacing w:after="0" w:line="240" w:lineRule="auto"/>
              <w:jc w:val="center"/>
              <w:rPr>
                <w:szCs w:val="24"/>
              </w:rPr>
            </w:pPr>
            <w:r>
              <w:rPr>
                <w:szCs w:val="24"/>
              </w:rPr>
              <w:t>(0.03)</w:t>
            </w:r>
          </w:p>
        </w:tc>
        <w:tc>
          <w:tcPr>
            <w:tcW w:w="1538" w:type="dxa"/>
            <w:tcBorders>
              <w:top w:val="nil"/>
              <w:left w:val="nil"/>
              <w:bottom w:val="nil"/>
              <w:right w:val="nil"/>
            </w:tcBorders>
          </w:tcPr>
          <w:p w14:paraId="472B88FD" w14:textId="77777777" w:rsidR="00377443" w:rsidRDefault="00377443" w:rsidP="000972AF">
            <w:pPr>
              <w:widowControl w:val="0"/>
              <w:autoSpaceDE w:val="0"/>
              <w:autoSpaceDN w:val="0"/>
              <w:adjustRightInd w:val="0"/>
              <w:spacing w:after="0" w:line="240" w:lineRule="auto"/>
              <w:jc w:val="center"/>
              <w:rPr>
                <w:szCs w:val="24"/>
              </w:rPr>
            </w:pPr>
            <w:r>
              <w:rPr>
                <w:szCs w:val="24"/>
              </w:rPr>
              <w:t>(0.03)</w:t>
            </w:r>
          </w:p>
        </w:tc>
      </w:tr>
      <w:tr w:rsidR="00377443" w14:paraId="072D3AAF" w14:textId="77777777" w:rsidTr="000972AF">
        <w:trPr>
          <w:jc w:val="center"/>
        </w:trPr>
        <w:tc>
          <w:tcPr>
            <w:tcW w:w="3101" w:type="dxa"/>
            <w:tcBorders>
              <w:top w:val="nil"/>
              <w:left w:val="nil"/>
              <w:bottom w:val="nil"/>
              <w:right w:val="nil"/>
            </w:tcBorders>
          </w:tcPr>
          <w:p w14:paraId="025BB3D7" w14:textId="77777777" w:rsidR="00377443" w:rsidRDefault="00377443" w:rsidP="000972AF">
            <w:pPr>
              <w:widowControl w:val="0"/>
              <w:autoSpaceDE w:val="0"/>
              <w:autoSpaceDN w:val="0"/>
              <w:adjustRightInd w:val="0"/>
              <w:spacing w:after="0" w:line="240" w:lineRule="auto"/>
              <w:rPr>
                <w:szCs w:val="24"/>
              </w:rPr>
            </w:pPr>
            <w:r>
              <w:rPr>
                <w:szCs w:val="24"/>
              </w:rPr>
              <w:t>Foreign partners</w:t>
            </w:r>
          </w:p>
        </w:tc>
        <w:tc>
          <w:tcPr>
            <w:tcW w:w="1418" w:type="dxa"/>
            <w:tcBorders>
              <w:top w:val="nil"/>
              <w:left w:val="nil"/>
              <w:bottom w:val="nil"/>
              <w:right w:val="nil"/>
            </w:tcBorders>
          </w:tcPr>
          <w:p w14:paraId="130EEC97" w14:textId="77777777" w:rsidR="00377443" w:rsidRDefault="00377443" w:rsidP="000972AF">
            <w:pPr>
              <w:widowControl w:val="0"/>
              <w:autoSpaceDE w:val="0"/>
              <w:autoSpaceDN w:val="0"/>
              <w:adjustRightInd w:val="0"/>
              <w:spacing w:after="0" w:line="240" w:lineRule="auto"/>
              <w:jc w:val="center"/>
              <w:rPr>
                <w:szCs w:val="24"/>
              </w:rPr>
            </w:pPr>
            <w:r>
              <w:rPr>
                <w:szCs w:val="24"/>
              </w:rPr>
              <w:t>1.14***</w:t>
            </w:r>
          </w:p>
        </w:tc>
        <w:tc>
          <w:tcPr>
            <w:tcW w:w="1656" w:type="dxa"/>
            <w:tcBorders>
              <w:top w:val="nil"/>
              <w:left w:val="nil"/>
              <w:bottom w:val="nil"/>
              <w:right w:val="nil"/>
            </w:tcBorders>
          </w:tcPr>
          <w:p w14:paraId="3E971A26" w14:textId="77777777" w:rsidR="00377443" w:rsidRDefault="00377443" w:rsidP="000972AF">
            <w:pPr>
              <w:widowControl w:val="0"/>
              <w:autoSpaceDE w:val="0"/>
              <w:autoSpaceDN w:val="0"/>
              <w:adjustRightInd w:val="0"/>
              <w:spacing w:after="0" w:line="240" w:lineRule="auto"/>
              <w:jc w:val="center"/>
              <w:rPr>
                <w:szCs w:val="24"/>
              </w:rPr>
            </w:pPr>
            <w:r>
              <w:rPr>
                <w:szCs w:val="24"/>
              </w:rPr>
              <w:t>1.08*</w:t>
            </w:r>
          </w:p>
        </w:tc>
        <w:tc>
          <w:tcPr>
            <w:tcW w:w="1320" w:type="dxa"/>
            <w:tcBorders>
              <w:top w:val="nil"/>
              <w:left w:val="nil"/>
              <w:bottom w:val="nil"/>
              <w:right w:val="nil"/>
            </w:tcBorders>
          </w:tcPr>
          <w:p w14:paraId="45D3049D" w14:textId="77777777" w:rsidR="00377443" w:rsidRDefault="00377443" w:rsidP="000972AF">
            <w:pPr>
              <w:widowControl w:val="0"/>
              <w:autoSpaceDE w:val="0"/>
              <w:autoSpaceDN w:val="0"/>
              <w:adjustRightInd w:val="0"/>
              <w:spacing w:after="0" w:line="240" w:lineRule="auto"/>
              <w:jc w:val="center"/>
              <w:rPr>
                <w:szCs w:val="24"/>
              </w:rPr>
            </w:pPr>
            <w:r>
              <w:rPr>
                <w:szCs w:val="24"/>
              </w:rPr>
              <w:t>1.05+</w:t>
            </w:r>
          </w:p>
        </w:tc>
        <w:tc>
          <w:tcPr>
            <w:tcW w:w="1755" w:type="dxa"/>
            <w:tcBorders>
              <w:top w:val="nil"/>
              <w:left w:val="nil"/>
              <w:bottom w:val="nil"/>
              <w:right w:val="nil"/>
            </w:tcBorders>
          </w:tcPr>
          <w:p w14:paraId="4B64C896" w14:textId="77777777" w:rsidR="00377443" w:rsidRDefault="00377443" w:rsidP="000972AF">
            <w:pPr>
              <w:widowControl w:val="0"/>
              <w:autoSpaceDE w:val="0"/>
              <w:autoSpaceDN w:val="0"/>
              <w:adjustRightInd w:val="0"/>
              <w:spacing w:after="0" w:line="240" w:lineRule="auto"/>
              <w:jc w:val="center"/>
              <w:rPr>
                <w:szCs w:val="24"/>
              </w:rPr>
            </w:pPr>
            <w:r>
              <w:rPr>
                <w:szCs w:val="24"/>
              </w:rPr>
              <w:t>1.04</w:t>
            </w:r>
          </w:p>
        </w:tc>
        <w:tc>
          <w:tcPr>
            <w:tcW w:w="1538" w:type="dxa"/>
            <w:tcBorders>
              <w:top w:val="nil"/>
              <w:left w:val="nil"/>
              <w:bottom w:val="nil"/>
              <w:right w:val="nil"/>
            </w:tcBorders>
          </w:tcPr>
          <w:p w14:paraId="746FFC41" w14:textId="77777777" w:rsidR="00377443" w:rsidRDefault="00377443" w:rsidP="000972AF">
            <w:pPr>
              <w:widowControl w:val="0"/>
              <w:autoSpaceDE w:val="0"/>
              <w:autoSpaceDN w:val="0"/>
              <w:adjustRightInd w:val="0"/>
              <w:spacing w:after="0" w:line="240" w:lineRule="auto"/>
              <w:jc w:val="center"/>
              <w:rPr>
                <w:szCs w:val="24"/>
              </w:rPr>
            </w:pPr>
            <w:r>
              <w:rPr>
                <w:szCs w:val="24"/>
              </w:rPr>
              <w:t>1.09*</w:t>
            </w:r>
          </w:p>
        </w:tc>
      </w:tr>
      <w:tr w:rsidR="00377443" w14:paraId="0CA5083E" w14:textId="77777777" w:rsidTr="000972AF">
        <w:trPr>
          <w:jc w:val="center"/>
        </w:trPr>
        <w:tc>
          <w:tcPr>
            <w:tcW w:w="3101" w:type="dxa"/>
            <w:tcBorders>
              <w:top w:val="nil"/>
              <w:left w:val="nil"/>
              <w:bottom w:val="nil"/>
              <w:right w:val="nil"/>
            </w:tcBorders>
          </w:tcPr>
          <w:p w14:paraId="6D3102CB" w14:textId="77777777" w:rsidR="00377443" w:rsidRDefault="00377443" w:rsidP="000972AF">
            <w:pPr>
              <w:widowControl w:val="0"/>
              <w:autoSpaceDE w:val="0"/>
              <w:autoSpaceDN w:val="0"/>
              <w:adjustRightInd w:val="0"/>
              <w:spacing w:after="0" w:line="240" w:lineRule="auto"/>
              <w:rPr>
                <w:szCs w:val="24"/>
              </w:rPr>
            </w:pPr>
          </w:p>
        </w:tc>
        <w:tc>
          <w:tcPr>
            <w:tcW w:w="1418" w:type="dxa"/>
            <w:tcBorders>
              <w:top w:val="nil"/>
              <w:left w:val="nil"/>
              <w:bottom w:val="nil"/>
              <w:right w:val="nil"/>
            </w:tcBorders>
          </w:tcPr>
          <w:p w14:paraId="0C4520EF" w14:textId="77777777" w:rsidR="00377443" w:rsidRDefault="00377443" w:rsidP="000972AF">
            <w:pPr>
              <w:widowControl w:val="0"/>
              <w:autoSpaceDE w:val="0"/>
              <w:autoSpaceDN w:val="0"/>
              <w:adjustRightInd w:val="0"/>
              <w:spacing w:after="0" w:line="240" w:lineRule="auto"/>
              <w:jc w:val="center"/>
              <w:rPr>
                <w:szCs w:val="24"/>
              </w:rPr>
            </w:pPr>
            <w:r>
              <w:rPr>
                <w:szCs w:val="24"/>
              </w:rPr>
              <w:t>(0.04)</w:t>
            </w:r>
          </w:p>
        </w:tc>
        <w:tc>
          <w:tcPr>
            <w:tcW w:w="1656" w:type="dxa"/>
            <w:tcBorders>
              <w:top w:val="nil"/>
              <w:left w:val="nil"/>
              <w:bottom w:val="nil"/>
              <w:right w:val="nil"/>
            </w:tcBorders>
          </w:tcPr>
          <w:p w14:paraId="530D159D" w14:textId="77777777" w:rsidR="00377443" w:rsidRDefault="00377443" w:rsidP="000972AF">
            <w:pPr>
              <w:widowControl w:val="0"/>
              <w:autoSpaceDE w:val="0"/>
              <w:autoSpaceDN w:val="0"/>
              <w:adjustRightInd w:val="0"/>
              <w:spacing w:after="0" w:line="240" w:lineRule="auto"/>
              <w:jc w:val="center"/>
              <w:rPr>
                <w:szCs w:val="24"/>
              </w:rPr>
            </w:pPr>
            <w:r>
              <w:rPr>
                <w:szCs w:val="24"/>
              </w:rPr>
              <w:t>(0.04)</w:t>
            </w:r>
          </w:p>
        </w:tc>
        <w:tc>
          <w:tcPr>
            <w:tcW w:w="1320" w:type="dxa"/>
            <w:tcBorders>
              <w:top w:val="nil"/>
              <w:left w:val="nil"/>
              <w:bottom w:val="nil"/>
              <w:right w:val="nil"/>
            </w:tcBorders>
          </w:tcPr>
          <w:p w14:paraId="380308FE" w14:textId="77777777" w:rsidR="00377443" w:rsidRDefault="00377443" w:rsidP="000972AF">
            <w:pPr>
              <w:widowControl w:val="0"/>
              <w:autoSpaceDE w:val="0"/>
              <w:autoSpaceDN w:val="0"/>
              <w:adjustRightInd w:val="0"/>
              <w:spacing w:after="0" w:line="240" w:lineRule="auto"/>
              <w:jc w:val="center"/>
              <w:rPr>
                <w:szCs w:val="24"/>
              </w:rPr>
            </w:pPr>
            <w:r>
              <w:rPr>
                <w:szCs w:val="24"/>
              </w:rPr>
              <w:t>(0.03)</w:t>
            </w:r>
          </w:p>
        </w:tc>
        <w:tc>
          <w:tcPr>
            <w:tcW w:w="1755" w:type="dxa"/>
            <w:tcBorders>
              <w:top w:val="nil"/>
              <w:left w:val="nil"/>
              <w:bottom w:val="nil"/>
              <w:right w:val="nil"/>
            </w:tcBorders>
          </w:tcPr>
          <w:p w14:paraId="677CD3C2" w14:textId="77777777" w:rsidR="00377443" w:rsidRDefault="00377443" w:rsidP="000972AF">
            <w:pPr>
              <w:widowControl w:val="0"/>
              <w:autoSpaceDE w:val="0"/>
              <w:autoSpaceDN w:val="0"/>
              <w:adjustRightInd w:val="0"/>
              <w:spacing w:after="0" w:line="240" w:lineRule="auto"/>
              <w:jc w:val="center"/>
              <w:rPr>
                <w:szCs w:val="24"/>
              </w:rPr>
            </w:pPr>
            <w:r>
              <w:rPr>
                <w:szCs w:val="24"/>
              </w:rPr>
              <w:t>(0.03)</w:t>
            </w:r>
          </w:p>
        </w:tc>
        <w:tc>
          <w:tcPr>
            <w:tcW w:w="1538" w:type="dxa"/>
            <w:tcBorders>
              <w:top w:val="nil"/>
              <w:left w:val="nil"/>
              <w:bottom w:val="nil"/>
              <w:right w:val="nil"/>
            </w:tcBorders>
          </w:tcPr>
          <w:p w14:paraId="3AD4B15D" w14:textId="77777777" w:rsidR="00377443" w:rsidRDefault="00377443" w:rsidP="000972AF">
            <w:pPr>
              <w:widowControl w:val="0"/>
              <w:autoSpaceDE w:val="0"/>
              <w:autoSpaceDN w:val="0"/>
              <w:adjustRightInd w:val="0"/>
              <w:spacing w:after="0" w:line="240" w:lineRule="auto"/>
              <w:jc w:val="center"/>
              <w:rPr>
                <w:szCs w:val="24"/>
              </w:rPr>
            </w:pPr>
            <w:r>
              <w:rPr>
                <w:szCs w:val="24"/>
              </w:rPr>
              <w:t>(0.04)</w:t>
            </w:r>
          </w:p>
        </w:tc>
      </w:tr>
      <w:tr w:rsidR="00377443" w14:paraId="79B4B74B" w14:textId="77777777" w:rsidTr="000972AF">
        <w:trPr>
          <w:jc w:val="center"/>
        </w:trPr>
        <w:tc>
          <w:tcPr>
            <w:tcW w:w="3101" w:type="dxa"/>
            <w:tcBorders>
              <w:top w:val="nil"/>
              <w:left w:val="nil"/>
              <w:bottom w:val="nil"/>
              <w:right w:val="nil"/>
            </w:tcBorders>
          </w:tcPr>
          <w:p w14:paraId="3239E2A1" w14:textId="77777777" w:rsidR="00377443" w:rsidRDefault="00377443" w:rsidP="000972AF">
            <w:pPr>
              <w:widowControl w:val="0"/>
              <w:autoSpaceDE w:val="0"/>
              <w:autoSpaceDN w:val="0"/>
              <w:adjustRightInd w:val="0"/>
              <w:spacing w:after="0" w:line="240" w:lineRule="auto"/>
              <w:rPr>
                <w:szCs w:val="24"/>
              </w:rPr>
            </w:pPr>
            <w:r>
              <w:rPr>
                <w:szCs w:val="24"/>
              </w:rPr>
              <w:t>Small city</w:t>
            </w:r>
          </w:p>
        </w:tc>
        <w:tc>
          <w:tcPr>
            <w:tcW w:w="1418" w:type="dxa"/>
            <w:tcBorders>
              <w:top w:val="nil"/>
              <w:left w:val="nil"/>
              <w:bottom w:val="nil"/>
              <w:right w:val="nil"/>
            </w:tcBorders>
          </w:tcPr>
          <w:p w14:paraId="71B8057D" w14:textId="77777777" w:rsidR="00377443" w:rsidRDefault="00377443" w:rsidP="000972AF">
            <w:pPr>
              <w:widowControl w:val="0"/>
              <w:autoSpaceDE w:val="0"/>
              <w:autoSpaceDN w:val="0"/>
              <w:adjustRightInd w:val="0"/>
              <w:spacing w:after="0" w:line="240" w:lineRule="auto"/>
              <w:jc w:val="center"/>
              <w:rPr>
                <w:szCs w:val="24"/>
              </w:rPr>
            </w:pPr>
            <w:r>
              <w:rPr>
                <w:szCs w:val="24"/>
              </w:rPr>
              <w:t>1.14</w:t>
            </w:r>
          </w:p>
        </w:tc>
        <w:tc>
          <w:tcPr>
            <w:tcW w:w="1656" w:type="dxa"/>
            <w:tcBorders>
              <w:top w:val="nil"/>
              <w:left w:val="nil"/>
              <w:bottom w:val="nil"/>
              <w:right w:val="nil"/>
            </w:tcBorders>
          </w:tcPr>
          <w:p w14:paraId="3BB785CB" w14:textId="77777777" w:rsidR="00377443" w:rsidRDefault="00377443" w:rsidP="000972AF">
            <w:pPr>
              <w:widowControl w:val="0"/>
              <w:autoSpaceDE w:val="0"/>
              <w:autoSpaceDN w:val="0"/>
              <w:adjustRightInd w:val="0"/>
              <w:spacing w:after="0" w:line="240" w:lineRule="auto"/>
              <w:jc w:val="center"/>
              <w:rPr>
                <w:szCs w:val="24"/>
              </w:rPr>
            </w:pPr>
            <w:r>
              <w:rPr>
                <w:szCs w:val="24"/>
              </w:rPr>
              <w:t>1.14</w:t>
            </w:r>
          </w:p>
        </w:tc>
        <w:tc>
          <w:tcPr>
            <w:tcW w:w="1320" w:type="dxa"/>
            <w:tcBorders>
              <w:top w:val="nil"/>
              <w:left w:val="nil"/>
              <w:bottom w:val="nil"/>
              <w:right w:val="nil"/>
            </w:tcBorders>
          </w:tcPr>
          <w:p w14:paraId="0A94A07B" w14:textId="77777777" w:rsidR="00377443" w:rsidRDefault="00377443" w:rsidP="000972AF">
            <w:pPr>
              <w:widowControl w:val="0"/>
              <w:autoSpaceDE w:val="0"/>
              <w:autoSpaceDN w:val="0"/>
              <w:adjustRightInd w:val="0"/>
              <w:spacing w:after="0" w:line="240" w:lineRule="auto"/>
              <w:jc w:val="center"/>
              <w:rPr>
                <w:szCs w:val="24"/>
              </w:rPr>
            </w:pPr>
            <w:r>
              <w:rPr>
                <w:szCs w:val="24"/>
              </w:rPr>
              <w:t>1.00</w:t>
            </w:r>
          </w:p>
        </w:tc>
        <w:tc>
          <w:tcPr>
            <w:tcW w:w="1755" w:type="dxa"/>
            <w:tcBorders>
              <w:top w:val="nil"/>
              <w:left w:val="nil"/>
              <w:bottom w:val="nil"/>
              <w:right w:val="nil"/>
            </w:tcBorders>
          </w:tcPr>
          <w:p w14:paraId="02DD3919" w14:textId="77777777" w:rsidR="00377443" w:rsidRDefault="00377443" w:rsidP="000972AF">
            <w:pPr>
              <w:widowControl w:val="0"/>
              <w:autoSpaceDE w:val="0"/>
              <w:autoSpaceDN w:val="0"/>
              <w:adjustRightInd w:val="0"/>
              <w:spacing w:after="0" w:line="240" w:lineRule="auto"/>
              <w:jc w:val="center"/>
              <w:rPr>
                <w:szCs w:val="24"/>
              </w:rPr>
            </w:pPr>
            <w:r>
              <w:rPr>
                <w:szCs w:val="24"/>
              </w:rPr>
              <w:t>0.98</w:t>
            </w:r>
          </w:p>
        </w:tc>
        <w:tc>
          <w:tcPr>
            <w:tcW w:w="1538" w:type="dxa"/>
            <w:tcBorders>
              <w:top w:val="nil"/>
              <w:left w:val="nil"/>
              <w:bottom w:val="nil"/>
              <w:right w:val="nil"/>
            </w:tcBorders>
          </w:tcPr>
          <w:p w14:paraId="7BE42036" w14:textId="77777777" w:rsidR="00377443" w:rsidRDefault="00377443" w:rsidP="000972AF">
            <w:pPr>
              <w:widowControl w:val="0"/>
              <w:autoSpaceDE w:val="0"/>
              <w:autoSpaceDN w:val="0"/>
              <w:adjustRightInd w:val="0"/>
              <w:spacing w:after="0" w:line="240" w:lineRule="auto"/>
              <w:jc w:val="center"/>
              <w:rPr>
                <w:szCs w:val="24"/>
              </w:rPr>
            </w:pPr>
            <w:r>
              <w:rPr>
                <w:szCs w:val="24"/>
              </w:rPr>
              <w:t>0.97</w:t>
            </w:r>
          </w:p>
        </w:tc>
      </w:tr>
      <w:tr w:rsidR="00377443" w14:paraId="756CC7A6" w14:textId="77777777" w:rsidTr="000972AF">
        <w:trPr>
          <w:jc w:val="center"/>
        </w:trPr>
        <w:tc>
          <w:tcPr>
            <w:tcW w:w="3101" w:type="dxa"/>
            <w:tcBorders>
              <w:top w:val="nil"/>
              <w:left w:val="nil"/>
              <w:bottom w:val="nil"/>
              <w:right w:val="nil"/>
            </w:tcBorders>
          </w:tcPr>
          <w:p w14:paraId="24E8BCF2" w14:textId="77777777" w:rsidR="00377443" w:rsidRDefault="00377443" w:rsidP="000972AF">
            <w:pPr>
              <w:widowControl w:val="0"/>
              <w:autoSpaceDE w:val="0"/>
              <w:autoSpaceDN w:val="0"/>
              <w:adjustRightInd w:val="0"/>
              <w:spacing w:after="0" w:line="240" w:lineRule="auto"/>
              <w:rPr>
                <w:szCs w:val="24"/>
              </w:rPr>
            </w:pPr>
          </w:p>
        </w:tc>
        <w:tc>
          <w:tcPr>
            <w:tcW w:w="1418" w:type="dxa"/>
            <w:tcBorders>
              <w:top w:val="nil"/>
              <w:left w:val="nil"/>
              <w:bottom w:val="nil"/>
              <w:right w:val="nil"/>
            </w:tcBorders>
          </w:tcPr>
          <w:p w14:paraId="0FA55DC5" w14:textId="77777777" w:rsidR="00377443" w:rsidRDefault="00377443" w:rsidP="000972AF">
            <w:pPr>
              <w:widowControl w:val="0"/>
              <w:autoSpaceDE w:val="0"/>
              <w:autoSpaceDN w:val="0"/>
              <w:adjustRightInd w:val="0"/>
              <w:spacing w:after="0" w:line="240" w:lineRule="auto"/>
              <w:jc w:val="center"/>
              <w:rPr>
                <w:szCs w:val="24"/>
              </w:rPr>
            </w:pPr>
            <w:r>
              <w:rPr>
                <w:szCs w:val="24"/>
              </w:rPr>
              <w:t>(0.14)</w:t>
            </w:r>
          </w:p>
        </w:tc>
        <w:tc>
          <w:tcPr>
            <w:tcW w:w="1656" w:type="dxa"/>
            <w:tcBorders>
              <w:top w:val="nil"/>
              <w:left w:val="nil"/>
              <w:bottom w:val="nil"/>
              <w:right w:val="nil"/>
            </w:tcBorders>
          </w:tcPr>
          <w:p w14:paraId="560AF77A" w14:textId="77777777" w:rsidR="00377443" w:rsidRDefault="00377443" w:rsidP="000972AF">
            <w:pPr>
              <w:widowControl w:val="0"/>
              <w:autoSpaceDE w:val="0"/>
              <w:autoSpaceDN w:val="0"/>
              <w:adjustRightInd w:val="0"/>
              <w:spacing w:after="0" w:line="240" w:lineRule="auto"/>
              <w:jc w:val="center"/>
              <w:rPr>
                <w:szCs w:val="24"/>
              </w:rPr>
            </w:pPr>
            <w:r>
              <w:rPr>
                <w:szCs w:val="24"/>
              </w:rPr>
              <w:t>(0.15)</w:t>
            </w:r>
          </w:p>
        </w:tc>
        <w:tc>
          <w:tcPr>
            <w:tcW w:w="1320" w:type="dxa"/>
            <w:tcBorders>
              <w:top w:val="nil"/>
              <w:left w:val="nil"/>
              <w:bottom w:val="nil"/>
              <w:right w:val="nil"/>
            </w:tcBorders>
          </w:tcPr>
          <w:p w14:paraId="7DC4E3E6" w14:textId="77777777" w:rsidR="00377443" w:rsidRDefault="00377443" w:rsidP="000972AF">
            <w:pPr>
              <w:widowControl w:val="0"/>
              <w:autoSpaceDE w:val="0"/>
              <w:autoSpaceDN w:val="0"/>
              <w:adjustRightInd w:val="0"/>
              <w:spacing w:after="0" w:line="240" w:lineRule="auto"/>
              <w:jc w:val="center"/>
              <w:rPr>
                <w:szCs w:val="24"/>
              </w:rPr>
            </w:pPr>
            <w:r>
              <w:rPr>
                <w:szCs w:val="24"/>
              </w:rPr>
              <w:t>(0.12)</w:t>
            </w:r>
          </w:p>
        </w:tc>
        <w:tc>
          <w:tcPr>
            <w:tcW w:w="1755" w:type="dxa"/>
            <w:tcBorders>
              <w:top w:val="nil"/>
              <w:left w:val="nil"/>
              <w:bottom w:val="nil"/>
              <w:right w:val="nil"/>
            </w:tcBorders>
          </w:tcPr>
          <w:p w14:paraId="0567F3EE" w14:textId="77777777" w:rsidR="00377443" w:rsidRDefault="00377443" w:rsidP="000972AF">
            <w:pPr>
              <w:widowControl w:val="0"/>
              <w:autoSpaceDE w:val="0"/>
              <w:autoSpaceDN w:val="0"/>
              <w:adjustRightInd w:val="0"/>
              <w:spacing w:after="0" w:line="240" w:lineRule="auto"/>
              <w:jc w:val="center"/>
              <w:rPr>
                <w:szCs w:val="24"/>
              </w:rPr>
            </w:pPr>
            <w:r>
              <w:rPr>
                <w:szCs w:val="24"/>
              </w:rPr>
              <w:t>(0.11)</w:t>
            </w:r>
          </w:p>
        </w:tc>
        <w:tc>
          <w:tcPr>
            <w:tcW w:w="1538" w:type="dxa"/>
            <w:tcBorders>
              <w:top w:val="nil"/>
              <w:left w:val="nil"/>
              <w:bottom w:val="nil"/>
              <w:right w:val="nil"/>
            </w:tcBorders>
          </w:tcPr>
          <w:p w14:paraId="0005B13B" w14:textId="77777777" w:rsidR="00377443" w:rsidRDefault="00377443" w:rsidP="000972AF">
            <w:pPr>
              <w:widowControl w:val="0"/>
              <w:autoSpaceDE w:val="0"/>
              <w:autoSpaceDN w:val="0"/>
              <w:adjustRightInd w:val="0"/>
              <w:spacing w:after="0" w:line="240" w:lineRule="auto"/>
              <w:jc w:val="center"/>
              <w:rPr>
                <w:szCs w:val="24"/>
              </w:rPr>
            </w:pPr>
            <w:r>
              <w:rPr>
                <w:szCs w:val="24"/>
              </w:rPr>
              <w:t>(0.11)</w:t>
            </w:r>
          </w:p>
        </w:tc>
      </w:tr>
      <w:tr w:rsidR="00377443" w14:paraId="099B8FFA" w14:textId="77777777" w:rsidTr="000972AF">
        <w:trPr>
          <w:jc w:val="center"/>
        </w:trPr>
        <w:tc>
          <w:tcPr>
            <w:tcW w:w="3101" w:type="dxa"/>
            <w:tcBorders>
              <w:top w:val="nil"/>
              <w:left w:val="nil"/>
              <w:bottom w:val="nil"/>
              <w:right w:val="nil"/>
            </w:tcBorders>
          </w:tcPr>
          <w:p w14:paraId="69341361" w14:textId="77777777" w:rsidR="00377443" w:rsidRDefault="00377443" w:rsidP="000972AF">
            <w:pPr>
              <w:widowControl w:val="0"/>
              <w:autoSpaceDE w:val="0"/>
              <w:autoSpaceDN w:val="0"/>
              <w:adjustRightInd w:val="0"/>
              <w:spacing w:after="0" w:line="240" w:lineRule="auto"/>
              <w:rPr>
                <w:szCs w:val="24"/>
              </w:rPr>
            </w:pPr>
            <w:r>
              <w:rPr>
                <w:szCs w:val="24"/>
              </w:rPr>
              <w:t>Medium city</w:t>
            </w:r>
          </w:p>
        </w:tc>
        <w:tc>
          <w:tcPr>
            <w:tcW w:w="1418" w:type="dxa"/>
            <w:tcBorders>
              <w:top w:val="nil"/>
              <w:left w:val="nil"/>
              <w:bottom w:val="nil"/>
              <w:right w:val="nil"/>
            </w:tcBorders>
          </w:tcPr>
          <w:p w14:paraId="0DD86368" w14:textId="77777777" w:rsidR="00377443" w:rsidRDefault="00377443" w:rsidP="000972AF">
            <w:pPr>
              <w:widowControl w:val="0"/>
              <w:autoSpaceDE w:val="0"/>
              <w:autoSpaceDN w:val="0"/>
              <w:adjustRightInd w:val="0"/>
              <w:spacing w:after="0" w:line="240" w:lineRule="auto"/>
              <w:jc w:val="center"/>
              <w:rPr>
                <w:szCs w:val="24"/>
              </w:rPr>
            </w:pPr>
            <w:r>
              <w:rPr>
                <w:szCs w:val="24"/>
              </w:rPr>
              <w:t>1.17</w:t>
            </w:r>
          </w:p>
        </w:tc>
        <w:tc>
          <w:tcPr>
            <w:tcW w:w="1656" w:type="dxa"/>
            <w:tcBorders>
              <w:top w:val="nil"/>
              <w:left w:val="nil"/>
              <w:bottom w:val="nil"/>
              <w:right w:val="nil"/>
            </w:tcBorders>
          </w:tcPr>
          <w:p w14:paraId="416A473A" w14:textId="77777777" w:rsidR="00377443" w:rsidRDefault="00377443" w:rsidP="000972AF">
            <w:pPr>
              <w:widowControl w:val="0"/>
              <w:autoSpaceDE w:val="0"/>
              <w:autoSpaceDN w:val="0"/>
              <w:adjustRightInd w:val="0"/>
              <w:spacing w:after="0" w:line="240" w:lineRule="auto"/>
              <w:jc w:val="center"/>
              <w:rPr>
                <w:szCs w:val="24"/>
              </w:rPr>
            </w:pPr>
            <w:r>
              <w:rPr>
                <w:szCs w:val="24"/>
              </w:rPr>
              <w:t>1.28</w:t>
            </w:r>
          </w:p>
        </w:tc>
        <w:tc>
          <w:tcPr>
            <w:tcW w:w="1320" w:type="dxa"/>
            <w:tcBorders>
              <w:top w:val="nil"/>
              <w:left w:val="nil"/>
              <w:bottom w:val="nil"/>
              <w:right w:val="nil"/>
            </w:tcBorders>
          </w:tcPr>
          <w:p w14:paraId="253B49A0" w14:textId="77777777" w:rsidR="00377443" w:rsidRDefault="00377443" w:rsidP="000972AF">
            <w:pPr>
              <w:widowControl w:val="0"/>
              <w:autoSpaceDE w:val="0"/>
              <w:autoSpaceDN w:val="0"/>
              <w:adjustRightInd w:val="0"/>
              <w:spacing w:after="0" w:line="240" w:lineRule="auto"/>
              <w:jc w:val="center"/>
              <w:rPr>
                <w:szCs w:val="24"/>
              </w:rPr>
            </w:pPr>
            <w:r>
              <w:rPr>
                <w:szCs w:val="24"/>
              </w:rPr>
              <w:t>0.98</w:t>
            </w:r>
          </w:p>
        </w:tc>
        <w:tc>
          <w:tcPr>
            <w:tcW w:w="1755" w:type="dxa"/>
            <w:tcBorders>
              <w:top w:val="nil"/>
              <w:left w:val="nil"/>
              <w:bottom w:val="nil"/>
              <w:right w:val="nil"/>
            </w:tcBorders>
          </w:tcPr>
          <w:p w14:paraId="6E843286" w14:textId="77777777" w:rsidR="00377443" w:rsidRDefault="00377443" w:rsidP="000972AF">
            <w:pPr>
              <w:widowControl w:val="0"/>
              <w:autoSpaceDE w:val="0"/>
              <w:autoSpaceDN w:val="0"/>
              <w:adjustRightInd w:val="0"/>
              <w:spacing w:after="0" w:line="240" w:lineRule="auto"/>
              <w:jc w:val="center"/>
              <w:rPr>
                <w:szCs w:val="24"/>
              </w:rPr>
            </w:pPr>
            <w:r>
              <w:rPr>
                <w:szCs w:val="24"/>
              </w:rPr>
              <w:t>1.22</w:t>
            </w:r>
          </w:p>
        </w:tc>
        <w:tc>
          <w:tcPr>
            <w:tcW w:w="1538" w:type="dxa"/>
            <w:tcBorders>
              <w:top w:val="nil"/>
              <w:left w:val="nil"/>
              <w:bottom w:val="nil"/>
              <w:right w:val="nil"/>
            </w:tcBorders>
          </w:tcPr>
          <w:p w14:paraId="60932FBF" w14:textId="77777777" w:rsidR="00377443" w:rsidRDefault="00377443" w:rsidP="000972AF">
            <w:pPr>
              <w:widowControl w:val="0"/>
              <w:autoSpaceDE w:val="0"/>
              <w:autoSpaceDN w:val="0"/>
              <w:adjustRightInd w:val="0"/>
              <w:spacing w:after="0" w:line="240" w:lineRule="auto"/>
              <w:jc w:val="center"/>
              <w:rPr>
                <w:szCs w:val="24"/>
              </w:rPr>
            </w:pPr>
            <w:r>
              <w:rPr>
                <w:szCs w:val="24"/>
              </w:rPr>
              <w:t>1.19</w:t>
            </w:r>
          </w:p>
        </w:tc>
      </w:tr>
      <w:tr w:rsidR="00377443" w14:paraId="727C369F" w14:textId="77777777" w:rsidTr="000972AF">
        <w:trPr>
          <w:jc w:val="center"/>
        </w:trPr>
        <w:tc>
          <w:tcPr>
            <w:tcW w:w="3101" w:type="dxa"/>
            <w:tcBorders>
              <w:top w:val="nil"/>
              <w:left w:val="nil"/>
              <w:bottom w:val="nil"/>
              <w:right w:val="nil"/>
            </w:tcBorders>
          </w:tcPr>
          <w:p w14:paraId="2FEF1847" w14:textId="77777777" w:rsidR="00377443" w:rsidRDefault="00377443" w:rsidP="000972AF">
            <w:pPr>
              <w:widowControl w:val="0"/>
              <w:autoSpaceDE w:val="0"/>
              <w:autoSpaceDN w:val="0"/>
              <w:adjustRightInd w:val="0"/>
              <w:spacing w:after="0" w:line="240" w:lineRule="auto"/>
              <w:rPr>
                <w:szCs w:val="24"/>
              </w:rPr>
            </w:pPr>
          </w:p>
        </w:tc>
        <w:tc>
          <w:tcPr>
            <w:tcW w:w="1418" w:type="dxa"/>
            <w:tcBorders>
              <w:top w:val="nil"/>
              <w:left w:val="nil"/>
              <w:bottom w:val="nil"/>
              <w:right w:val="nil"/>
            </w:tcBorders>
          </w:tcPr>
          <w:p w14:paraId="028326F3" w14:textId="77777777" w:rsidR="00377443" w:rsidRDefault="00377443" w:rsidP="000972AF">
            <w:pPr>
              <w:widowControl w:val="0"/>
              <w:autoSpaceDE w:val="0"/>
              <w:autoSpaceDN w:val="0"/>
              <w:adjustRightInd w:val="0"/>
              <w:spacing w:after="0" w:line="240" w:lineRule="auto"/>
              <w:jc w:val="center"/>
              <w:rPr>
                <w:szCs w:val="24"/>
              </w:rPr>
            </w:pPr>
            <w:r>
              <w:rPr>
                <w:szCs w:val="24"/>
              </w:rPr>
              <w:t>(0.21)</w:t>
            </w:r>
          </w:p>
        </w:tc>
        <w:tc>
          <w:tcPr>
            <w:tcW w:w="1656" w:type="dxa"/>
            <w:tcBorders>
              <w:top w:val="nil"/>
              <w:left w:val="nil"/>
              <w:bottom w:val="nil"/>
              <w:right w:val="nil"/>
            </w:tcBorders>
          </w:tcPr>
          <w:p w14:paraId="7C79F2DE" w14:textId="77777777" w:rsidR="00377443" w:rsidRDefault="00377443" w:rsidP="000972AF">
            <w:pPr>
              <w:widowControl w:val="0"/>
              <w:autoSpaceDE w:val="0"/>
              <w:autoSpaceDN w:val="0"/>
              <w:adjustRightInd w:val="0"/>
              <w:spacing w:after="0" w:line="240" w:lineRule="auto"/>
              <w:jc w:val="center"/>
              <w:rPr>
                <w:szCs w:val="24"/>
              </w:rPr>
            </w:pPr>
            <w:r>
              <w:rPr>
                <w:szCs w:val="24"/>
              </w:rPr>
              <w:t>(0.24)</w:t>
            </w:r>
          </w:p>
        </w:tc>
        <w:tc>
          <w:tcPr>
            <w:tcW w:w="1320" w:type="dxa"/>
            <w:tcBorders>
              <w:top w:val="nil"/>
              <w:left w:val="nil"/>
              <w:bottom w:val="nil"/>
              <w:right w:val="nil"/>
            </w:tcBorders>
          </w:tcPr>
          <w:p w14:paraId="6D673080" w14:textId="77777777" w:rsidR="00377443" w:rsidRDefault="00377443" w:rsidP="000972AF">
            <w:pPr>
              <w:widowControl w:val="0"/>
              <w:autoSpaceDE w:val="0"/>
              <w:autoSpaceDN w:val="0"/>
              <w:adjustRightInd w:val="0"/>
              <w:spacing w:after="0" w:line="240" w:lineRule="auto"/>
              <w:jc w:val="center"/>
              <w:rPr>
                <w:szCs w:val="24"/>
              </w:rPr>
            </w:pPr>
            <w:r>
              <w:rPr>
                <w:szCs w:val="24"/>
              </w:rPr>
              <w:t>(0.16)</w:t>
            </w:r>
          </w:p>
        </w:tc>
        <w:tc>
          <w:tcPr>
            <w:tcW w:w="1755" w:type="dxa"/>
            <w:tcBorders>
              <w:top w:val="nil"/>
              <w:left w:val="nil"/>
              <w:bottom w:val="nil"/>
              <w:right w:val="nil"/>
            </w:tcBorders>
          </w:tcPr>
          <w:p w14:paraId="2ABC8707" w14:textId="77777777" w:rsidR="00377443" w:rsidRDefault="00377443" w:rsidP="000972AF">
            <w:pPr>
              <w:widowControl w:val="0"/>
              <w:autoSpaceDE w:val="0"/>
              <w:autoSpaceDN w:val="0"/>
              <w:adjustRightInd w:val="0"/>
              <w:spacing w:after="0" w:line="240" w:lineRule="auto"/>
              <w:jc w:val="center"/>
              <w:rPr>
                <w:szCs w:val="24"/>
              </w:rPr>
            </w:pPr>
            <w:r>
              <w:rPr>
                <w:szCs w:val="24"/>
              </w:rPr>
              <w:t>(0.21)</w:t>
            </w:r>
          </w:p>
        </w:tc>
        <w:tc>
          <w:tcPr>
            <w:tcW w:w="1538" w:type="dxa"/>
            <w:tcBorders>
              <w:top w:val="nil"/>
              <w:left w:val="nil"/>
              <w:bottom w:val="nil"/>
              <w:right w:val="nil"/>
            </w:tcBorders>
          </w:tcPr>
          <w:p w14:paraId="1D94DA02" w14:textId="77777777" w:rsidR="00377443" w:rsidRDefault="00377443" w:rsidP="000972AF">
            <w:pPr>
              <w:widowControl w:val="0"/>
              <w:autoSpaceDE w:val="0"/>
              <w:autoSpaceDN w:val="0"/>
              <w:adjustRightInd w:val="0"/>
              <w:spacing w:after="0" w:line="240" w:lineRule="auto"/>
              <w:jc w:val="center"/>
              <w:rPr>
                <w:szCs w:val="24"/>
              </w:rPr>
            </w:pPr>
            <w:r>
              <w:rPr>
                <w:szCs w:val="24"/>
              </w:rPr>
              <w:t>(0.21)</w:t>
            </w:r>
          </w:p>
        </w:tc>
      </w:tr>
      <w:tr w:rsidR="00377443" w14:paraId="14A1750B" w14:textId="77777777" w:rsidTr="000972AF">
        <w:trPr>
          <w:jc w:val="center"/>
        </w:trPr>
        <w:tc>
          <w:tcPr>
            <w:tcW w:w="3101" w:type="dxa"/>
            <w:tcBorders>
              <w:top w:val="nil"/>
              <w:left w:val="nil"/>
              <w:bottom w:val="nil"/>
              <w:right w:val="nil"/>
            </w:tcBorders>
          </w:tcPr>
          <w:p w14:paraId="22485EEF" w14:textId="77777777" w:rsidR="00377443" w:rsidRDefault="00377443" w:rsidP="000972AF">
            <w:pPr>
              <w:widowControl w:val="0"/>
              <w:autoSpaceDE w:val="0"/>
              <w:autoSpaceDN w:val="0"/>
              <w:adjustRightInd w:val="0"/>
              <w:spacing w:after="0" w:line="240" w:lineRule="auto"/>
              <w:rPr>
                <w:szCs w:val="24"/>
              </w:rPr>
            </w:pPr>
            <w:r>
              <w:rPr>
                <w:szCs w:val="24"/>
              </w:rPr>
              <w:t>Big city</w:t>
            </w:r>
          </w:p>
        </w:tc>
        <w:tc>
          <w:tcPr>
            <w:tcW w:w="1418" w:type="dxa"/>
            <w:tcBorders>
              <w:top w:val="nil"/>
              <w:left w:val="nil"/>
              <w:bottom w:val="nil"/>
              <w:right w:val="nil"/>
            </w:tcBorders>
          </w:tcPr>
          <w:p w14:paraId="4D6EC353" w14:textId="77777777" w:rsidR="00377443" w:rsidRDefault="00377443" w:rsidP="000972AF">
            <w:pPr>
              <w:widowControl w:val="0"/>
              <w:autoSpaceDE w:val="0"/>
              <w:autoSpaceDN w:val="0"/>
              <w:adjustRightInd w:val="0"/>
              <w:spacing w:after="0" w:line="240" w:lineRule="auto"/>
              <w:jc w:val="center"/>
              <w:rPr>
                <w:szCs w:val="24"/>
              </w:rPr>
            </w:pPr>
            <w:r>
              <w:rPr>
                <w:szCs w:val="24"/>
              </w:rPr>
              <w:t>1.05</w:t>
            </w:r>
          </w:p>
        </w:tc>
        <w:tc>
          <w:tcPr>
            <w:tcW w:w="1656" w:type="dxa"/>
            <w:tcBorders>
              <w:top w:val="nil"/>
              <w:left w:val="nil"/>
              <w:bottom w:val="nil"/>
              <w:right w:val="nil"/>
            </w:tcBorders>
          </w:tcPr>
          <w:p w14:paraId="2D483273" w14:textId="77777777" w:rsidR="00377443" w:rsidRDefault="00377443" w:rsidP="000972AF">
            <w:pPr>
              <w:widowControl w:val="0"/>
              <w:autoSpaceDE w:val="0"/>
              <w:autoSpaceDN w:val="0"/>
              <w:adjustRightInd w:val="0"/>
              <w:spacing w:after="0" w:line="240" w:lineRule="auto"/>
              <w:jc w:val="center"/>
              <w:rPr>
                <w:szCs w:val="24"/>
              </w:rPr>
            </w:pPr>
            <w:r>
              <w:rPr>
                <w:szCs w:val="24"/>
              </w:rPr>
              <w:t>1.02</w:t>
            </w:r>
          </w:p>
        </w:tc>
        <w:tc>
          <w:tcPr>
            <w:tcW w:w="1320" w:type="dxa"/>
            <w:tcBorders>
              <w:top w:val="nil"/>
              <w:left w:val="nil"/>
              <w:bottom w:val="nil"/>
              <w:right w:val="nil"/>
            </w:tcBorders>
          </w:tcPr>
          <w:p w14:paraId="45C443D0" w14:textId="77777777" w:rsidR="00377443" w:rsidRDefault="00377443" w:rsidP="000972AF">
            <w:pPr>
              <w:widowControl w:val="0"/>
              <w:autoSpaceDE w:val="0"/>
              <w:autoSpaceDN w:val="0"/>
              <w:adjustRightInd w:val="0"/>
              <w:spacing w:after="0" w:line="240" w:lineRule="auto"/>
              <w:jc w:val="center"/>
              <w:rPr>
                <w:szCs w:val="24"/>
              </w:rPr>
            </w:pPr>
            <w:r>
              <w:rPr>
                <w:szCs w:val="24"/>
              </w:rPr>
              <w:t>0.82</w:t>
            </w:r>
          </w:p>
        </w:tc>
        <w:tc>
          <w:tcPr>
            <w:tcW w:w="1755" w:type="dxa"/>
            <w:tcBorders>
              <w:top w:val="nil"/>
              <w:left w:val="nil"/>
              <w:bottom w:val="nil"/>
              <w:right w:val="nil"/>
            </w:tcBorders>
          </w:tcPr>
          <w:p w14:paraId="156A5AD5" w14:textId="77777777" w:rsidR="00377443" w:rsidRDefault="00377443" w:rsidP="000972AF">
            <w:pPr>
              <w:widowControl w:val="0"/>
              <w:autoSpaceDE w:val="0"/>
              <w:autoSpaceDN w:val="0"/>
              <w:adjustRightInd w:val="0"/>
              <w:spacing w:after="0" w:line="240" w:lineRule="auto"/>
              <w:jc w:val="center"/>
              <w:rPr>
                <w:szCs w:val="24"/>
              </w:rPr>
            </w:pPr>
            <w:r>
              <w:rPr>
                <w:szCs w:val="24"/>
              </w:rPr>
              <w:t>0.76+</w:t>
            </w:r>
          </w:p>
        </w:tc>
        <w:tc>
          <w:tcPr>
            <w:tcW w:w="1538" w:type="dxa"/>
            <w:tcBorders>
              <w:top w:val="nil"/>
              <w:left w:val="nil"/>
              <w:bottom w:val="nil"/>
              <w:right w:val="nil"/>
            </w:tcBorders>
          </w:tcPr>
          <w:p w14:paraId="2C2B4FCF" w14:textId="77777777" w:rsidR="00377443" w:rsidRDefault="00377443" w:rsidP="000972AF">
            <w:pPr>
              <w:widowControl w:val="0"/>
              <w:autoSpaceDE w:val="0"/>
              <w:autoSpaceDN w:val="0"/>
              <w:adjustRightInd w:val="0"/>
              <w:spacing w:after="0" w:line="240" w:lineRule="auto"/>
              <w:jc w:val="center"/>
              <w:rPr>
                <w:szCs w:val="24"/>
              </w:rPr>
            </w:pPr>
            <w:r>
              <w:rPr>
                <w:szCs w:val="24"/>
              </w:rPr>
              <w:t>0.87</w:t>
            </w:r>
          </w:p>
        </w:tc>
      </w:tr>
      <w:tr w:rsidR="00377443" w14:paraId="0D8FD523" w14:textId="77777777" w:rsidTr="000972AF">
        <w:trPr>
          <w:jc w:val="center"/>
        </w:trPr>
        <w:tc>
          <w:tcPr>
            <w:tcW w:w="3101" w:type="dxa"/>
            <w:tcBorders>
              <w:top w:val="nil"/>
              <w:left w:val="nil"/>
              <w:bottom w:val="nil"/>
              <w:right w:val="nil"/>
            </w:tcBorders>
          </w:tcPr>
          <w:p w14:paraId="1113ED5B" w14:textId="77777777" w:rsidR="00377443" w:rsidRDefault="00377443" w:rsidP="000972AF">
            <w:pPr>
              <w:widowControl w:val="0"/>
              <w:autoSpaceDE w:val="0"/>
              <w:autoSpaceDN w:val="0"/>
              <w:adjustRightInd w:val="0"/>
              <w:spacing w:after="0" w:line="240" w:lineRule="auto"/>
              <w:rPr>
                <w:szCs w:val="24"/>
              </w:rPr>
            </w:pPr>
          </w:p>
        </w:tc>
        <w:tc>
          <w:tcPr>
            <w:tcW w:w="1418" w:type="dxa"/>
            <w:tcBorders>
              <w:top w:val="nil"/>
              <w:left w:val="nil"/>
              <w:bottom w:val="nil"/>
              <w:right w:val="nil"/>
            </w:tcBorders>
          </w:tcPr>
          <w:p w14:paraId="4485850A" w14:textId="77777777" w:rsidR="00377443" w:rsidRDefault="00377443" w:rsidP="000972AF">
            <w:pPr>
              <w:widowControl w:val="0"/>
              <w:autoSpaceDE w:val="0"/>
              <w:autoSpaceDN w:val="0"/>
              <w:adjustRightInd w:val="0"/>
              <w:spacing w:after="0" w:line="240" w:lineRule="auto"/>
              <w:jc w:val="center"/>
              <w:rPr>
                <w:szCs w:val="24"/>
              </w:rPr>
            </w:pPr>
            <w:r>
              <w:rPr>
                <w:szCs w:val="24"/>
              </w:rPr>
              <w:t>(0.18)</w:t>
            </w:r>
          </w:p>
        </w:tc>
        <w:tc>
          <w:tcPr>
            <w:tcW w:w="1656" w:type="dxa"/>
            <w:tcBorders>
              <w:top w:val="nil"/>
              <w:left w:val="nil"/>
              <w:bottom w:val="nil"/>
              <w:right w:val="nil"/>
            </w:tcBorders>
          </w:tcPr>
          <w:p w14:paraId="514DA753" w14:textId="77777777" w:rsidR="00377443" w:rsidRDefault="00377443" w:rsidP="000972AF">
            <w:pPr>
              <w:widowControl w:val="0"/>
              <w:autoSpaceDE w:val="0"/>
              <w:autoSpaceDN w:val="0"/>
              <w:adjustRightInd w:val="0"/>
              <w:spacing w:after="0" w:line="240" w:lineRule="auto"/>
              <w:jc w:val="center"/>
              <w:rPr>
                <w:szCs w:val="24"/>
              </w:rPr>
            </w:pPr>
            <w:r>
              <w:rPr>
                <w:szCs w:val="24"/>
              </w:rPr>
              <w:t>(0.18)</w:t>
            </w:r>
          </w:p>
        </w:tc>
        <w:tc>
          <w:tcPr>
            <w:tcW w:w="1320" w:type="dxa"/>
            <w:tcBorders>
              <w:top w:val="nil"/>
              <w:left w:val="nil"/>
              <w:bottom w:val="nil"/>
              <w:right w:val="nil"/>
            </w:tcBorders>
          </w:tcPr>
          <w:p w14:paraId="2B18FB10" w14:textId="77777777" w:rsidR="00377443" w:rsidRDefault="00377443" w:rsidP="000972AF">
            <w:pPr>
              <w:widowControl w:val="0"/>
              <w:autoSpaceDE w:val="0"/>
              <w:autoSpaceDN w:val="0"/>
              <w:adjustRightInd w:val="0"/>
              <w:spacing w:after="0" w:line="240" w:lineRule="auto"/>
              <w:jc w:val="center"/>
              <w:rPr>
                <w:szCs w:val="24"/>
              </w:rPr>
            </w:pPr>
            <w:r>
              <w:rPr>
                <w:szCs w:val="24"/>
              </w:rPr>
              <w:t>(0.13)</w:t>
            </w:r>
          </w:p>
        </w:tc>
        <w:tc>
          <w:tcPr>
            <w:tcW w:w="1755" w:type="dxa"/>
            <w:tcBorders>
              <w:top w:val="nil"/>
              <w:left w:val="nil"/>
              <w:bottom w:val="nil"/>
              <w:right w:val="nil"/>
            </w:tcBorders>
          </w:tcPr>
          <w:p w14:paraId="78645B77" w14:textId="77777777" w:rsidR="00377443" w:rsidRDefault="00377443" w:rsidP="000972AF">
            <w:pPr>
              <w:widowControl w:val="0"/>
              <w:autoSpaceDE w:val="0"/>
              <w:autoSpaceDN w:val="0"/>
              <w:adjustRightInd w:val="0"/>
              <w:spacing w:after="0" w:line="240" w:lineRule="auto"/>
              <w:jc w:val="center"/>
              <w:rPr>
                <w:szCs w:val="24"/>
              </w:rPr>
            </w:pPr>
            <w:r>
              <w:rPr>
                <w:szCs w:val="24"/>
              </w:rPr>
              <w:t>(0.11)</w:t>
            </w:r>
          </w:p>
        </w:tc>
        <w:tc>
          <w:tcPr>
            <w:tcW w:w="1538" w:type="dxa"/>
            <w:tcBorders>
              <w:top w:val="nil"/>
              <w:left w:val="nil"/>
              <w:bottom w:val="nil"/>
              <w:right w:val="nil"/>
            </w:tcBorders>
          </w:tcPr>
          <w:p w14:paraId="3D15EF73" w14:textId="77777777" w:rsidR="00377443" w:rsidRDefault="00377443" w:rsidP="000972AF">
            <w:pPr>
              <w:widowControl w:val="0"/>
              <w:autoSpaceDE w:val="0"/>
              <w:autoSpaceDN w:val="0"/>
              <w:adjustRightInd w:val="0"/>
              <w:spacing w:after="0" w:line="240" w:lineRule="auto"/>
              <w:jc w:val="center"/>
              <w:rPr>
                <w:szCs w:val="24"/>
              </w:rPr>
            </w:pPr>
            <w:r>
              <w:rPr>
                <w:szCs w:val="24"/>
              </w:rPr>
              <w:t>(0.13)</w:t>
            </w:r>
          </w:p>
        </w:tc>
      </w:tr>
      <w:tr w:rsidR="00377443" w14:paraId="409B645C" w14:textId="77777777" w:rsidTr="000972AF">
        <w:trPr>
          <w:jc w:val="center"/>
        </w:trPr>
        <w:tc>
          <w:tcPr>
            <w:tcW w:w="3101" w:type="dxa"/>
            <w:tcBorders>
              <w:top w:val="nil"/>
              <w:left w:val="nil"/>
              <w:bottom w:val="nil"/>
              <w:right w:val="nil"/>
            </w:tcBorders>
          </w:tcPr>
          <w:p w14:paraId="61F068B1" w14:textId="77777777" w:rsidR="00377443" w:rsidRDefault="00377443" w:rsidP="000972AF">
            <w:pPr>
              <w:widowControl w:val="0"/>
              <w:autoSpaceDE w:val="0"/>
              <w:autoSpaceDN w:val="0"/>
              <w:adjustRightInd w:val="0"/>
              <w:spacing w:after="0" w:line="240" w:lineRule="auto"/>
              <w:rPr>
                <w:szCs w:val="24"/>
              </w:rPr>
            </w:pPr>
            <w:r>
              <w:rPr>
                <w:szCs w:val="24"/>
              </w:rPr>
              <w:t>Log R&amp;D expenditure</w:t>
            </w:r>
          </w:p>
        </w:tc>
        <w:tc>
          <w:tcPr>
            <w:tcW w:w="1418" w:type="dxa"/>
            <w:tcBorders>
              <w:top w:val="nil"/>
              <w:left w:val="nil"/>
              <w:bottom w:val="nil"/>
              <w:right w:val="nil"/>
            </w:tcBorders>
          </w:tcPr>
          <w:p w14:paraId="5EED4B5B" w14:textId="77777777" w:rsidR="00377443" w:rsidRDefault="00377443" w:rsidP="000972AF">
            <w:pPr>
              <w:widowControl w:val="0"/>
              <w:autoSpaceDE w:val="0"/>
              <w:autoSpaceDN w:val="0"/>
              <w:adjustRightInd w:val="0"/>
              <w:spacing w:after="0" w:line="240" w:lineRule="auto"/>
              <w:jc w:val="center"/>
              <w:rPr>
                <w:szCs w:val="24"/>
              </w:rPr>
            </w:pPr>
            <w:r>
              <w:rPr>
                <w:szCs w:val="24"/>
              </w:rPr>
              <w:t>1.29***</w:t>
            </w:r>
          </w:p>
        </w:tc>
        <w:tc>
          <w:tcPr>
            <w:tcW w:w="1656" w:type="dxa"/>
            <w:tcBorders>
              <w:top w:val="nil"/>
              <w:left w:val="nil"/>
              <w:bottom w:val="nil"/>
              <w:right w:val="nil"/>
            </w:tcBorders>
          </w:tcPr>
          <w:p w14:paraId="5070C1F7" w14:textId="77777777" w:rsidR="00377443" w:rsidRDefault="00377443" w:rsidP="000972AF">
            <w:pPr>
              <w:widowControl w:val="0"/>
              <w:autoSpaceDE w:val="0"/>
              <w:autoSpaceDN w:val="0"/>
              <w:adjustRightInd w:val="0"/>
              <w:spacing w:after="0" w:line="240" w:lineRule="auto"/>
              <w:jc w:val="center"/>
              <w:rPr>
                <w:szCs w:val="24"/>
              </w:rPr>
            </w:pPr>
            <w:r>
              <w:rPr>
                <w:szCs w:val="24"/>
              </w:rPr>
              <w:t>1.28***</w:t>
            </w:r>
          </w:p>
        </w:tc>
        <w:tc>
          <w:tcPr>
            <w:tcW w:w="1320" w:type="dxa"/>
            <w:tcBorders>
              <w:top w:val="nil"/>
              <w:left w:val="nil"/>
              <w:bottom w:val="nil"/>
              <w:right w:val="nil"/>
            </w:tcBorders>
          </w:tcPr>
          <w:p w14:paraId="10CE0DC1" w14:textId="77777777" w:rsidR="00377443" w:rsidRDefault="00377443" w:rsidP="000972AF">
            <w:pPr>
              <w:widowControl w:val="0"/>
              <w:autoSpaceDE w:val="0"/>
              <w:autoSpaceDN w:val="0"/>
              <w:adjustRightInd w:val="0"/>
              <w:spacing w:after="0" w:line="240" w:lineRule="auto"/>
              <w:jc w:val="center"/>
              <w:rPr>
                <w:szCs w:val="24"/>
              </w:rPr>
            </w:pPr>
            <w:r>
              <w:rPr>
                <w:szCs w:val="24"/>
              </w:rPr>
              <w:t>1.20***</w:t>
            </w:r>
          </w:p>
        </w:tc>
        <w:tc>
          <w:tcPr>
            <w:tcW w:w="1755" w:type="dxa"/>
            <w:tcBorders>
              <w:top w:val="nil"/>
              <w:left w:val="nil"/>
              <w:bottom w:val="nil"/>
              <w:right w:val="nil"/>
            </w:tcBorders>
          </w:tcPr>
          <w:p w14:paraId="4BF2639A" w14:textId="77777777" w:rsidR="00377443" w:rsidRDefault="00377443" w:rsidP="000972AF">
            <w:pPr>
              <w:widowControl w:val="0"/>
              <w:autoSpaceDE w:val="0"/>
              <w:autoSpaceDN w:val="0"/>
              <w:adjustRightInd w:val="0"/>
              <w:spacing w:after="0" w:line="240" w:lineRule="auto"/>
              <w:jc w:val="center"/>
              <w:rPr>
                <w:szCs w:val="24"/>
              </w:rPr>
            </w:pPr>
            <w:r>
              <w:rPr>
                <w:szCs w:val="24"/>
              </w:rPr>
              <w:t>1.10***</w:t>
            </w:r>
          </w:p>
        </w:tc>
        <w:tc>
          <w:tcPr>
            <w:tcW w:w="1538" w:type="dxa"/>
            <w:tcBorders>
              <w:top w:val="nil"/>
              <w:left w:val="nil"/>
              <w:bottom w:val="nil"/>
              <w:right w:val="nil"/>
            </w:tcBorders>
          </w:tcPr>
          <w:p w14:paraId="2CE3F785" w14:textId="77777777" w:rsidR="00377443" w:rsidRDefault="00377443" w:rsidP="000972AF">
            <w:pPr>
              <w:widowControl w:val="0"/>
              <w:autoSpaceDE w:val="0"/>
              <w:autoSpaceDN w:val="0"/>
              <w:adjustRightInd w:val="0"/>
              <w:spacing w:after="0" w:line="240" w:lineRule="auto"/>
              <w:jc w:val="center"/>
              <w:rPr>
                <w:szCs w:val="24"/>
              </w:rPr>
            </w:pPr>
            <w:r>
              <w:rPr>
                <w:szCs w:val="24"/>
              </w:rPr>
              <w:t>1.14***</w:t>
            </w:r>
          </w:p>
        </w:tc>
      </w:tr>
      <w:tr w:rsidR="00377443" w14:paraId="214CF892" w14:textId="77777777" w:rsidTr="000972AF">
        <w:trPr>
          <w:jc w:val="center"/>
        </w:trPr>
        <w:tc>
          <w:tcPr>
            <w:tcW w:w="3101" w:type="dxa"/>
            <w:tcBorders>
              <w:top w:val="nil"/>
              <w:left w:val="nil"/>
              <w:bottom w:val="nil"/>
              <w:right w:val="nil"/>
            </w:tcBorders>
          </w:tcPr>
          <w:p w14:paraId="2465FC5C" w14:textId="77777777" w:rsidR="00377443" w:rsidRDefault="00377443" w:rsidP="000972AF">
            <w:pPr>
              <w:widowControl w:val="0"/>
              <w:autoSpaceDE w:val="0"/>
              <w:autoSpaceDN w:val="0"/>
              <w:adjustRightInd w:val="0"/>
              <w:spacing w:after="0" w:line="240" w:lineRule="auto"/>
              <w:rPr>
                <w:szCs w:val="24"/>
              </w:rPr>
            </w:pPr>
          </w:p>
        </w:tc>
        <w:tc>
          <w:tcPr>
            <w:tcW w:w="1418" w:type="dxa"/>
            <w:tcBorders>
              <w:top w:val="nil"/>
              <w:left w:val="nil"/>
              <w:bottom w:val="nil"/>
              <w:right w:val="nil"/>
            </w:tcBorders>
          </w:tcPr>
          <w:p w14:paraId="778F0E37" w14:textId="77777777" w:rsidR="00377443" w:rsidRDefault="00377443" w:rsidP="000972AF">
            <w:pPr>
              <w:widowControl w:val="0"/>
              <w:autoSpaceDE w:val="0"/>
              <w:autoSpaceDN w:val="0"/>
              <w:adjustRightInd w:val="0"/>
              <w:spacing w:after="0" w:line="240" w:lineRule="auto"/>
              <w:jc w:val="center"/>
              <w:rPr>
                <w:szCs w:val="24"/>
              </w:rPr>
            </w:pPr>
            <w:r>
              <w:rPr>
                <w:szCs w:val="24"/>
              </w:rPr>
              <w:t>(0.01)</w:t>
            </w:r>
          </w:p>
        </w:tc>
        <w:tc>
          <w:tcPr>
            <w:tcW w:w="1656" w:type="dxa"/>
            <w:tcBorders>
              <w:top w:val="nil"/>
              <w:left w:val="nil"/>
              <w:bottom w:val="nil"/>
              <w:right w:val="nil"/>
            </w:tcBorders>
          </w:tcPr>
          <w:p w14:paraId="4621480B" w14:textId="77777777" w:rsidR="00377443" w:rsidRDefault="00377443" w:rsidP="000972AF">
            <w:pPr>
              <w:widowControl w:val="0"/>
              <w:autoSpaceDE w:val="0"/>
              <w:autoSpaceDN w:val="0"/>
              <w:adjustRightInd w:val="0"/>
              <w:spacing w:after="0" w:line="240" w:lineRule="auto"/>
              <w:jc w:val="center"/>
              <w:rPr>
                <w:szCs w:val="24"/>
              </w:rPr>
            </w:pPr>
            <w:r>
              <w:rPr>
                <w:szCs w:val="24"/>
              </w:rPr>
              <w:t>(0.02)</w:t>
            </w:r>
          </w:p>
        </w:tc>
        <w:tc>
          <w:tcPr>
            <w:tcW w:w="1320" w:type="dxa"/>
            <w:tcBorders>
              <w:top w:val="nil"/>
              <w:left w:val="nil"/>
              <w:bottom w:val="nil"/>
              <w:right w:val="nil"/>
            </w:tcBorders>
          </w:tcPr>
          <w:p w14:paraId="05D5B5C7" w14:textId="77777777" w:rsidR="00377443" w:rsidRDefault="00377443" w:rsidP="000972AF">
            <w:pPr>
              <w:widowControl w:val="0"/>
              <w:autoSpaceDE w:val="0"/>
              <w:autoSpaceDN w:val="0"/>
              <w:adjustRightInd w:val="0"/>
              <w:spacing w:after="0" w:line="240" w:lineRule="auto"/>
              <w:jc w:val="center"/>
              <w:rPr>
                <w:szCs w:val="24"/>
              </w:rPr>
            </w:pPr>
            <w:r>
              <w:rPr>
                <w:szCs w:val="24"/>
              </w:rPr>
              <w:t>(0.01)</w:t>
            </w:r>
          </w:p>
        </w:tc>
        <w:tc>
          <w:tcPr>
            <w:tcW w:w="1755" w:type="dxa"/>
            <w:tcBorders>
              <w:top w:val="nil"/>
              <w:left w:val="nil"/>
              <w:bottom w:val="nil"/>
              <w:right w:val="nil"/>
            </w:tcBorders>
          </w:tcPr>
          <w:p w14:paraId="72AB365B" w14:textId="77777777" w:rsidR="00377443" w:rsidRDefault="00377443" w:rsidP="000972AF">
            <w:pPr>
              <w:widowControl w:val="0"/>
              <w:autoSpaceDE w:val="0"/>
              <w:autoSpaceDN w:val="0"/>
              <w:adjustRightInd w:val="0"/>
              <w:spacing w:after="0" w:line="240" w:lineRule="auto"/>
              <w:jc w:val="center"/>
              <w:rPr>
                <w:szCs w:val="24"/>
              </w:rPr>
            </w:pPr>
            <w:r>
              <w:rPr>
                <w:szCs w:val="24"/>
              </w:rPr>
              <w:t>(0.01)</w:t>
            </w:r>
          </w:p>
        </w:tc>
        <w:tc>
          <w:tcPr>
            <w:tcW w:w="1538" w:type="dxa"/>
            <w:tcBorders>
              <w:top w:val="nil"/>
              <w:left w:val="nil"/>
              <w:bottom w:val="nil"/>
              <w:right w:val="nil"/>
            </w:tcBorders>
          </w:tcPr>
          <w:p w14:paraId="2D514190" w14:textId="77777777" w:rsidR="00377443" w:rsidRDefault="00377443" w:rsidP="000972AF">
            <w:pPr>
              <w:widowControl w:val="0"/>
              <w:autoSpaceDE w:val="0"/>
              <w:autoSpaceDN w:val="0"/>
              <w:adjustRightInd w:val="0"/>
              <w:spacing w:after="0" w:line="240" w:lineRule="auto"/>
              <w:jc w:val="center"/>
              <w:rPr>
                <w:szCs w:val="24"/>
              </w:rPr>
            </w:pPr>
            <w:r>
              <w:rPr>
                <w:szCs w:val="24"/>
              </w:rPr>
              <w:t>(0.01)</w:t>
            </w:r>
          </w:p>
        </w:tc>
      </w:tr>
      <w:tr w:rsidR="00377443" w14:paraId="78BCA9D1" w14:textId="77777777" w:rsidTr="000972AF">
        <w:trPr>
          <w:jc w:val="center"/>
        </w:trPr>
        <w:tc>
          <w:tcPr>
            <w:tcW w:w="3101" w:type="dxa"/>
            <w:tcBorders>
              <w:top w:val="nil"/>
              <w:left w:val="nil"/>
              <w:bottom w:val="nil"/>
              <w:right w:val="nil"/>
            </w:tcBorders>
          </w:tcPr>
          <w:p w14:paraId="20E8C8EA" w14:textId="77777777" w:rsidR="00377443" w:rsidRDefault="00377443" w:rsidP="000972AF">
            <w:pPr>
              <w:widowControl w:val="0"/>
              <w:autoSpaceDE w:val="0"/>
              <w:autoSpaceDN w:val="0"/>
              <w:adjustRightInd w:val="0"/>
              <w:spacing w:after="0" w:line="240" w:lineRule="auto"/>
              <w:rPr>
                <w:szCs w:val="24"/>
              </w:rPr>
            </w:pPr>
            <w:r>
              <w:rPr>
                <w:szCs w:val="24"/>
              </w:rPr>
              <w:t>Log no. of employees</w:t>
            </w:r>
          </w:p>
        </w:tc>
        <w:tc>
          <w:tcPr>
            <w:tcW w:w="1418" w:type="dxa"/>
            <w:tcBorders>
              <w:top w:val="nil"/>
              <w:left w:val="nil"/>
              <w:bottom w:val="nil"/>
              <w:right w:val="nil"/>
            </w:tcBorders>
          </w:tcPr>
          <w:p w14:paraId="1D70849D" w14:textId="77777777" w:rsidR="00377443" w:rsidRDefault="00377443" w:rsidP="000972AF">
            <w:pPr>
              <w:widowControl w:val="0"/>
              <w:autoSpaceDE w:val="0"/>
              <w:autoSpaceDN w:val="0"/>
              <w:adjustRightInd w:val="0"/>
              <w:spacing w:after="0" w:line="240" w:lineRule="auto"/>
              <w:jc w:val="center"/>
              <w:rPr>
                <w:szCs w:val="24"/>
              </w:rPr>
            </w:pPr>
            <w:r>
              <w:rPr>
                <w:szCs w:val="24"/>
              </w:rPr>
              <w:t>0.97</w:t>
            </w:r>
          </w:p>
        </w:tc>
        <w:tc>
          <w:tcPr>
            <w:tcW w:w="1656" w:type="dxa"/>
            <w:tcBorders>
              <w:top w:val="nil"/>
              <w:left w:val="nil"/>
              <w:bottom w:val="nil"/>
              <w:right w:val="nil"/>
            </w:tcBorders>
          </w:tcPr>
          <w:p w14:paraId="009C3914" w14:textId="77777777" w:rsidR="00377443" w:rsidRDefault="00377443" w:rsidP="000972AF">
            <w:pPr>
              <w:widowControl w:val="0"/>
              <w:autoSpaceDE w:val="0"/>
              <w:autoSpaceDN w:val="0"/>
              <w:adjustRightInd w:val="0"/>
              <w:spacing w:after="0" w:line="240" w:lineRule="auto"/>
              <w:jc w:val="center"/>
              <w:rPr>
                <w:szCs w:val="24"/>
              </w:rPr>
            </w:pPr>
            <w:r>
              <w:rPr>
                <w:szCs w:val="24"/>
              </w:rPr>
              <w:t>0.94+</w:t>
            </w:r>
          </w:p>
        </w:tc>
        <w:tc>
          <w:tcPr>
            <w:tcW w:w="1320" w:type="dxa"/>
            <w:tcBorders>
              <w:top w:val="nil"/>
              <w:left w:val="nil"/>
              <w:bottom w:val="nil"/>
              <w:right w:val="nil"/>
            </w:tcBorders>
          </w:tcPr>
          <w:p w14:paraId="04467708" w14:textId="77777777" w:rsidR="00377443" w:rsidRDefault="00377443" w:rsidP="000972AF">
            <w:pPr>
              <w:widowControl w:val="0"/>
              <w:autoSpaceDE w:val="0"/>
              <w:autoSpaceDN w:val="0"/>
              <w:adjustRightInd w:val="0"/>
              <w:spacing w:after="0" w:line="240" w:lineRule="auto"/>
              <w:jc w:val="center"/>
              <w:rPr>
                <w:szCs w:val="24"/>
              </w:rPr>
            </w:pPr>
            <w:r>
              <w:rPr>
                <w:szCs w:val="24"/>
              </w:rPr>
              <w:t>1.05</w:t>
            </w:r>
          </w:p>
        </w:tc>
        <w:tc>
          <w:tcPr>
            <w:tcW w:w="1755" w:type="dxa"/>
            <w:tcBorders>
              <w:top w:val="nil"/>
              <w:left w:val="nil"/>
              <w:bottom w:val="nil"/>
              <w:right w:val="nil"/>
            </w:tcBorders>
          </w:tcPr>
          <w:p w14:paraId="1E511B51" w14:textId="77777777" w:rsidR="00377443" w:rsidRDefault="00377443" w:rsidP="000972AF">
            <w:pPr>
              <w:widowControl w:val="0"/>
              <w:autoSpaceDE w:val="0"/>
              <w:autoSpaceDN w:val="0"/>
              <w:adjustRightInd w:val="0"/>
              <w:spacing w:after="0" w:line="240" w:lineRule="auto"/>
              <w:jc w:val="center"/>
              <w:rPr>
                <w:szCs w:val="24"/>
              </w:rPr>
            </w:pPr>
            <w:r>
              <w:rPr>
                <w:szCs w:val="24"/>
              </w:rPr>
              <w:t>1.21***</w:t>
            </w:r>
          </w:p>
        </w:tc>
        <w:tc>
          <w:tcPr>
            <w:tcW w:w="1538" w:type="dxa"/>
            <w:tcBorders>
              <w:top w:val="nil"/>
              <w:left w:val="nil"/>
              <w:bottom w:val="nil"/>
              <w:right w:val="nil"/>
            </w:tcBorders>
          </w:tcPr>
          <w:p w14:paraId="2891B43F" w14:textId="77777777" w:rsidR="00377443" w:rsidRDefault="00377443" w:rsidP="000972AF">
            <w:pPr>
              <w:widowControl w:val="0"/>
              <w:autoSpaceDE w:val="0"/>
              <w:autoSpaceDN w:val="0"/>
              <w:adjustRightInd w:val="0"/>
              <w:spacing w:after="0" w:line="240" w:lineRule="auto"/>
              <w:jc w:val="center"/>
              <w:rPr>
                <w:szCs w:val="24"/>
              </w:rPr>
            </w:pPr>
            <w:r>
              <w:rPr>
                <w:szCs w:val="24"/>
              </w:rPr>
              <w:t>1.01</w:t>
            </w:r>
          </w:p>
        </w:tc>
      </w:tr>
      <w:tr w:rsidR="00377443" w14:paraId="210D65EE" w14:textId="77777777" w:rsidTr="000972AF">
        <w:trPr>
          <w:jc w:val="center"/>
        </w:trPr>
        <w:tc>
          <w:tcPr>
            <w:tcW w:w="3101" w:type="dxa"/>
            <w:tcBorders>
              <w:top w:val="nil"/>
              <w:left w:val="nil"/>
              <w:bottom w:val="nil"/>
              <w:right w:val="nil"/>
            </w:tcBorders>
          </w:tcPr>
          <w:p w14:paraId="78CB9FB6" w14:textId="77777777" w:rsidR="00377443" w:rsidRDefault="00377443" w:rsidP="000972AF">
            <w:pPr>
              <w:widowControl w:val="0"/>
              <w:autoSpaceDE w:val="0"/>
              <w:autoSpaceDN w:val="0"/>
              <w:adjustRightInd w:val="0"/>
              <w:spacing w:after="0" w:line="240" w:lineRule="auto"/>
              <w:rPr>
                <w:szCs w:val="24"/>
              </w:rPr>
            </w:pPr>
          </w:p>
        </w:tc>
        <w:tc>
          <w:tcPr>
            <w:tcW w:w="1418" w:type="dxa"/>
            <w:tcBorders>
              <w:top w:val="nil"/>
              <w:left w:val="nil"/>
              <w:bottom w:val="nil"/>
              <w:right w:val="nil"/>
            </w:tcBorders>
          </w:tcPr>
          <w:p w14:paraId="36BAF730" w14:textId="77777777" w:rsidR="00377443" w:rsidRDefault="00377443" w:rsidP="000972AF">
            <w:pPr>
              <w:widowControl w:val="0"/>
              <w:autoSpaceDE w:val="0"/>
              <w:autoSpaceDN w:val="0"/>
              <w:adjustRightInd w:val="0"/>
              <w:spacing w:after="0" w:line="240" w:lineRule="auto"/>
              <w:jc w:val="center"/>
              <w:rPr>
                <w:szCs w:val="24"/>
              </w:rPr>
            </w:pPr>
            <w:r>
              <w:rPr>
                <w:szCs w:val="24"/>
              </w:rPr>
              <w:t>(0.03)</w:t>
            </w:r>
          </w:p>
        </w:tc>
        <w:tc>
          <w:tcPr>
            <w:tcW w:w="1656" w:type="dxa"/>
            <w:tcBorders>
              <w:top w:val="nil"/>
              <w:left w:val="nil"/>
              <w:bottom w:val="nil"/>
              <w:right w:val="nil"/>
            </w:tcBorders>
          </w:tcPr>
          <w:p w14:paraId="3DA9BFD5" w14:textId="77777777" w:rsidR="00377443" w:rsidRDefault="00377443" w:rsidP="000972AF">
            <w:pPr>
              <w:widowControl w:val="0"/>
              <w:autoSpaceDE w:val="0"/>
              <w:autoSpaceDN w:val="0"/>
              <w:adjustRightInd w:val="0"/>
              <w:spacing w:after="0" w:line="240" w:lineRule="auto"/>
              <w:jc w:val="center"/>
              <w:rPr>
                <w:szCs w:val="24"/>
              </w:rPr>
            </w:pPr>
            <w:r>
              <w:rPr>
                <w:szCs w:val="24"/>
              </w:rPr>
              <w:t>(0.03)</w:t>
            </w:r>
          </w:p>
        </w:tc>
        <w:tc>
          <w:tcPr>
            <w:tcW w:w="1320" w:type="dxa"/>
            <w:tcBorders>
              <w:top w:val="nil"/>
              <w:left w:val="nil"/>
              <w:bottom w:val="nil"/>
              <w:right w:val="nil"/>
            </w:tcBorders>
          </w:tcPr>
          <w:p w14:paraId="34312E96" w14:textId="77777777" w:rsidR="00377443" w:rsidRDefault="00377443" w:rsidP="000972AF">
            <w:pPr>
              <w:widowControl w:val="0"/>
              <w:autoSpaceDE w:val="0"/>
              <w:autoSpaceDN w:val="0"/>
              <w:adjustRightInd w:val="0"/>
              <w:spacing w:after="0" w:line="240" w:lineRule="auto"/>
              <w:jc w:val="center"/>
              <w:rPr>
                <w:szCs w:val="24"/>
              </w:rPr>
            </w:pPr>
            <w:r>
              <w:rPr>
                <w:szCs w:val="24"/>
              </w:rPr>
              <w:t>(0.03)</w:t>
            </w:r>
          </w:p>
        </w:tc>
        <w:tc>
          <w:tcPr>
            <w:tcW w:w="1755" w:type="dxa"/>
            <w:tcBorders>
              <w:top w:val="nil"/>
              <w:left w:val="nil"/>
              <w:bottom w:val="nil"/>
              <w:right w:val="nil"/>
            </w:tcBorders>
          </w:tcPr>
          <w:p w14:paraId="5DD51305" w14:textId="77777777" w:rsidR="00377443" w:rsidRDefault="00377443" w:rsidP="000972AF">
            <w:pPr>
              <w:widowControl w:val="0"/>
              <w:autoSpaceDE w:val="0"/>
              <w:autoSpaceDN w:val="0"/>
              <w:adjustRightInd w:val="0"/>
              <w:spacing w:after="0" w:line="240" w:lineRule="auto"/>
              <w:jc w:val="center"/>
              <w:rPr>
                <w:szCs w:val="24"/>
              </w:rPr>
            </w:pPr>
            <w:r>
              <w:rPr>
                <w:szCs w:val="24"/>
              </w:rPr>
              <w:t>(0.04)</w:t>
            </w:r>
          </w:p>
        </w:tc>
        <w:tc>
          <w:tcPr>
            <w:tcW w:w="1538" w:type="dxa"/>
            <w:tcBorders>
              <w:top w:val="nil"/>
              <w:left w:val="nil"/>
              <w:bottom w:val="nil"/>
              <w:right w:val="nil"/>
            </w:tcBorders>
          </w:tcPr>
          <w:p w14:paraId="5247A18C" w14:textId="77777777" w:rsidR="00377443" w:rsidRDefault="00377443" w:rsidP="000972AF">
            <w:pPr>
              <w:widowControl w:val="0"/>
              <w:autoSpaceDE w:val="0"/>
              <w:autoSpaceDN w:val="0"/>
              <w:adjustRightInd w:val="0"/>
              <w:spacing w:after="0" w:line="240" w:lineRule="auto"/>
              <w:jc w:val="center"/>
              <w:rPr>
                <w:szCs w:val="24"/>
              </w:rPr>
            </w:pPr>
            <w:r>
              <w:rPr>
                <w:szCs w:val="24"/>
              </w:rPr>
              <w:t>(0.03)</w:t>
            </w:r>
          </w:p>
        </w:tc>
      </w:tr>
      <w:tr w:rsidR="00377443" w14:paraId="5B467F53" w14:textId="77777777" w:rsidTr="000972AF">
        <w:trPr>
          <w:jc w:val="center"/>
        </w:trPr>
        <w:tc>
          <w:tcPr>
            <w:tcW w:w="3101" w:type="dxa"/>
            <w:tcBorders>
              <w:top w:val="nil"/>
              <w:left w:val="nil"/>
              <w:bottom w:val="nil"/>
              <w:right w:val="nil"/>
            </w:tcBorders>
          </w:tcPr>
          <w:p w14:paraId="1A0C2EC9" w14:textId="77777777" w:rsidR="00377443" w:rsidRDefault="00377443" w:rsidP="000972AF">
            <w:pPr>
              <w:widowControl w:val="0"/>
              <w:autoSpaceDE w:val="0"/>
              <w:autoSpaceDN w:val="0"/>
              <w:adjustRightInd w:val="0"/>
              <w:spacing w:after="0" w:line="240" w:lineRule="auto"/>
              <w:rPr>
                <w:szCs w:val="24"/>
              </w:rPr>
            </w:pPr>
            <w:r>
              <w:rPr>
                <w:szCs w:val="24"/>
              </w:rPr>
              <w:t>Log % of educated employees</w:t>
            </w:r>
          </w:p>
        </w:tc>
        <w:tc>
          <w:tcPr>
            <w:tcW w:w="1418" w:type="dxa"/>
            <w:tcBorders>
              <w:top w:val="nil"/>
              <w:left w:val="nil"/>
              <w:bottom w:val="nil"/>
              <w:right w:val="nil"/>
            </w:tcBorders>
          </w:tcPr>
          <w:p w14:paraId="606B87E5" w14:textId="77777777" w:rsidR="00377443" w:rsidRDefault="00377443" w:rsidP="000972AF">
            <w:pPr>
              <w:widowControl w:val="0"/>
              <w:autoSpaceDE w:val="0"/>
              <w:autoSpaceDN w:val="0"/>
              <w:adjustRightInd w:val="0"/>
              <w:spacing w:after="0" w:line="240" w:lineRule="auto"/>
              <w:jc w:val="center"/>
              <w:rPr>
                <w:szCs w:val="24"/>
              </w:rPr>
            </w:pPr>
            <w:r>
              <w:rPr>
                <w:szCs w:val="24"/>
              </w:rPr>
              <w:t>2.51**</w:t>
            </w:r>
          </w:p>
        </w:tc>
        <w:tc>
          <w:tcPr>
            <w:tcW w:w="1656" w:type="dxa"/>
            <w:tcBorders>
              <w:top w:val="nil"/>
              <w:left w:val="nil"/>
              <w:bottom w:val="nil"/>
              <w:right w:val="nil"/>
            </w:tcBorders>
          </w:tcPr>
          <w:p w14:paraId="184942D9" w14:textId="77777777" w:rsidR="00377443" w:rsidRDefault="00377443" w:rsidP="000972AF">
            <w:pPr>
              <w:widowControl w:val="0"/>
              <w:autoSpaceDE w:val="0"/>
              <w:autoSpaceDN w:val="0"/>
              <w:adjustRightInd w:val="0"/>
              <w:spacing w:after="0" w:line="240" w:lineRule="auto"/>
              <w:jc w:val="center"/>
              <w:rPr>
                <w:szCs w:val="24"/>
              </w:rPr>
            </w:pPr>
            <w:r>
              <w:rPr>
                <w:szCs w:val="24"/>
              </w:rPr>
              <w:t>2.25*</w:t>
            </w:r>
          </w:p>
        </w:tc>
        <w:tc>
          <w:tcPr>
            <w:tcW w:w="1320" w:type="dxa"/>
            <w:tcBorders>
              <w:top w:val="nil"/>
              <w:left w:val="nil"/>
              <w:bottom w:val="nil"/>
              <w:right w:val="nil"/>
            </w:tcBorders>
          </w:tcPr>
          <w:p w14:paraId="4D962C76" w14:textId="77777777" w:rsidR="00377443" w:rsidRDefault="00377443" w:rsidP="000972AF">
            <w:pPr>
              <w:widowControl w:val="0"/>
              <w:autoSpaceDE w:val="0"/>
              <w:autoSpaceDN w:val="0"/>
              <w:adjustRightInd w:val="0"/>
              <w:spacing w:after="0" w:line="240" w:lineRule="auto"/>
              <w:jc w:val="center"/>
              <w:rPr>
                <w:szCs w:val="24"/>
              </w:rPr>
            </w:pPr>
            <w:r>
              <w:rPr>
                <w:szCs w:val="24"/>
              </w:rPr>
              <w:t>1.34</w:t>
            </w:r>
          </w:p>
        </w:tc>
        <w:tc>
          <w:tcPr>
            <w:tcW w:w="1755" w:type="dxa"/>
            <w:tcBorders>
              <w:top w:val="nil"/>
              <w:left w:val="nil"/>
              <w:bottom w:val="nil"/>
              <w:right w:val="nil"/>
            </w:tcBorders>
          </w:tcPr>
          <w:p w14:paraId="15349C76" w14:textId="77777777" w:rsidR="00377443" w:rsidRDefault="00377443" w:rsidP="000972AF">
            <w:pPr>
              <w:widowControl w:val="0"/>
              <w:autoSpaceDE w:val="0"/>
              <w:autoSpaceDN w:val="0"/>
              <w:adjustRightInd w:val="0"/>
              <w:spacing w:after="0" w:line="240" w:lineRule="auto"/>
              <w:jc w:val="center"/>
              <w:rPr>
                <w:szCs w:val="24"/>
              </w:rPr>
            </w:pPr>
            <w:r>
              <w:rPr>
                <w:szCs w:val="24"/>
              </w:rPr>
              <w:t>1.98*</w:t>
            </w:r>
          </w:p>
        </w:tc>
        <w:tc>
          <w:tcPr>
            <w:tcW w:w="1538" w:type="dxa"/>
            <w:tcBorders>
              <w:top w:val="nil"/>
              <w:left w:val="nil"/>
              <w:bottom w:val="nil"/>
              <w:right w:val="nil"/>
            </w:tcBorders>
          </w:tcPr>
          <w:p w14:paraId="1E631C6F" w14:textId="77777777" w:rsidR="00377443" w:rsidRDefault="00377443" w:rsidP="000972AF">
            <w:pPr>
              <w:widowControl w:val="0"/>
              <w:autoSpaceDE w:val="0"/>
              <w:autoSpaceDN w:val="0"/>
              <w:adjustRightInd w:val="0"/>
              <w:spacing w:after="0" w:line="240" w:lineRule="auto"/>
              <w:jc w:val="center"/>
              <w:rPr>
                <w:szCs w:val="24"/>
              </w:rPr>
            </w:pPr>
            <w:r>
              <w:rPr>
                <w:szCs w:val="24"/>
              </w:rPr>
              <w:t>1.59</w:t>
            </w:r>
          </w:p>
        </w:tc>
      </w:tr>
      <w:tr w:rsidR="00377443" w14:paraId="2741D743" w14:textId="77777777" w:rsidTr="000972AF">
        <w:trPr>
          <w:jc w:val="center"/>
        </w:trPr>
        <w:tc>
          <w:tcPr>
            <w:tcW w:w="3101" w:type="dxa"/>
            <w:tcBorders>
              <w:top w:val="nil"/>
              <w:left w:val="nil"/>
              <w:bottom w:val="nil"/>
              <w:right w:val="nil"/>
            </w:tcBorders>
          </w:tcPr>
          <w:p w14:paraId="3A8F8B6A" w14:textId="77777777" w:rsidR="00377443" w:rsidRDefault="00377443" w:rsidP="000972AF">
            <w:pPr>
              <w:widowControl w:val="0"/>
              <w:autoSpaceDE w:val="0"/>
              <w:autoSpaceDN w:val="0"/>
              <w:adjustRightInd w:val="0"/>
              <w:spacing w:after="0" w:line="240" w:lineRule="auto"/>
              <w:rPr>
                <w:szCs w:val="24"/>
              </w:rPr>
            </w:pPr>
          </w:p>
        </w:tc>
        <w:tc>
          <w:tcPr>
            <w:tcW w:w="1418" w:type="dxa"/>
            <w:tcBorders>
              <w:top w:val="nil"/>
              <w:left w:val="nil"/>
              <w:bottom w:val="nil"/>
              <w:right w:val="nil"/>
            </w:tcBorders>
          </w:tcPr>
          <w:p w14:paraId="2FE42971" w14:textId="77777777" w:rsidR="00377443" w:rsidRDefault="00377443" w:rsidP="000972AF">
            <w:pPr>
              <w:widowControl w:val="0"/>
              <w:autoSpaceDE w:val="0"/>
              <w:autoSpaceDN w:val="0"/>
              <w:adjustRightInd w:val="0"/>
              <w:spacing w:after="0" w:line="240" w:lineRule="auto"/>
              <w:jc w:val="center"/>
              <w:rPr>
                <w:szCs w:val="24"/>
              </w:rPr>
            </w:pPr>
            <w:r>
              <w:rPr>
                <w:szCs w:val="24"/>
              </w:rPr>
              <w:t>(0.80)</w:t>
            </w:r>
          </w:p>
        </w:tc>
        <w:tc>
          <w:tcPr>
            <w:tcW w:w="1656" w:type="dxa"/>
            <w:tcBorders>
              <w:top w:val="nil"/>
              <w:left w:val="nil"/>
              <w:bottom w:val="nil"/>
              <w:right w:val="nil"/>
            </w:tcBorders>
          </w:tcPr>
          <w:p w14:paraId="5F1695E9" w14:textId="77777777" w:rsidR="00377443" w:rsidRDefault="00377443" w:rsidP="000972AF">
            <w:pPr>
              <w:widowControl w:val="0"/>
              <w:autoSpaceDE w:val="0"/>
              <w:autoSpaceDN w:val="0"/>
              <w:adjustRightInd w:val="0"/>
              <w:spacing w:after="0" w:line="240" w:lineRule="auto"/>
              <w:jc w:val="center"/>
              <w:rPr>
                <w:szCs w:val="24"/>
              </w:rPr>
            </w:pPr>
            <w:r>
              <w:rPr>
                <w:szCs w:val="24"/>
              </w:rPr>
              <w:t>(0.76)</w:t>
            </w:r>
          </w:p>
        </w:tc>
        <w:tc>
          <w:tcPr>
            <w:tcW w:w="1320" w:type="dxa"/>
            <w:tcBorders>
              <w:top w:val="nil"/>
              <w:left w:val="nil"/>
              <w:bottom w:val="nil"/>
              <w:right w:val="nil"/>
            </w:tcBorders>
          </w:tcPr>
          <w:p w14:paraId="0081FEE3" w14:textId="77777777" w:rsidR="00377443" w:rsidRDefault="00377443" w:rsidP="000972AF">
            <w:pPr>
              <w:widowControl w:val="0"/>
              <w:autoSpaceDE w:val="0"/>
              <w:autoSpaceDN w:val="0"/>
              <w:adjustRightInd w:val="0"/>
              <w:spacing w:after="0" w:line="240" w:lineRule="auto"/>
              <w:jc w:val="center"/>
              <w:rPr>
                <w:szCs w:val="24"/>
              </w:rPr>
            </w:pPr>
            <w:r>
              <w:rPr>
                <w:szCs w:val="24"/>
              </w:rPr>
              <w:t>(0.42)</w:t>
            </w:r>
          </w:p>
        </w:tc>
        <w:tc>
          <w:tcPr>
            <w:tcW w:w="1755" w:type="dxa"/>
            <w:tcBorders>
              <w:top w:val="nil"/>
              <w:left w:val="nil"/>
              <w:bottom w:val="nil"/>
              <w:right w:val="nil"/>
            </w:tcBorders>
          </w:tcPr>
          <w:p w14:paraId="161C0BE1" w14:textId="77777777" w:rsidR="00377443" w:rsidRDefault="00377443" w:rsidP="000972AF">
            <w:pPr>
              <w:widowControl w:val="0"/>
              <w:autoSpaceDE w:val="0"/>
              <w:autoSpaceDN w:val="0"/>
              <w:adjustRightInd w:val="0"/>
              <w:spacing w:after="0" w:line="240" w:lineRule="auto"/>
              <w:jc w:val="center"/>
              <w:rPr>
                <w:szCs w:val="24"/>
              </w:rPr>
            </w:pPr>
            <w:r>
              <w:rPr>
                <w:szCs w:val="24"/>
              </w:rPr>
              <w:t>(0.59)</w:t>
            </w:r>
          </w:p>
        </w:tc>
        <w:tc>
          <w:tcPr>
            <w:tcW w:w="1538" w:type="dxa"/>
            <w:tcBorders>
              <w:top w:val="nil"/>
              <w:left w:val="nil"/>
              <w:bottom w:val="nil"/>
              <w:right w:val="nil"/>
            </w:tcBorders>
          </w:tcPr>
          <w:p w14:paraId="4D00802B" w14:textId="77777777" w:rsidR="00377443" w:rsidRDefault="00377443" w:rsidP="000972AF">
            <w:pPr>
              <w:widowControl w:val="0"/>
              <w:autoSpaceDE w:val="0"/>
              <w:autoSpaceDN w:val="0"/>
              <w:adjustRightInd w:val="0"/>
              <w:spacing w:after="0" w:line="240" w:lineRule="auto"/>
              <w:jc w:val="center"/>
              <w:rPr>
                <w:szCs w:val="24"/>
              </w:rPr>
            </w:pPr>
            <w:r>
              <w:rPr>
                <w:szCs w:val="24"/>
              </w:rPr>
              <w:t>(0.48)</w:t>
            </w:r>
          </w:p>
        </w:tc>
      </w:tr>
      <w:tr w:rsidR="00377443" w14:paraId="2CCE8B8E" w14:textId="77777777" w:rsidTr="000972AF">
        <w:trPr>
          <w:jc w:val="center"/>
        </w:trPr>
        <w:tc>
          <w:tcPr>
            <w:tcW w:w="3101" w:type="dxa"/>
            <w:tcBorders>
              <w:top w:val="nil"/>
              <w:left w:val="nil"/>
              <w:bottom w:val="nil"/>
              <w:right w:val="nil"/>
            </w:tcBorders>
          </w:tcPr>
          <w:p w14:paraId="23EBFB36" w14:textId="77777777" w:rsidR="00377443" w:rsidRDefault="00377443" w:rsidP="000972AF">
            <w:pPr>
              <w:widowControl w:val="0"/>
              <w:autoSpaceDE w:val="0"/>
              <w:autoSpaceDN w:val="0"/>
              <w:adjustRightInd w:val="0"/>
              <w:spacing w:after="0" w:line="240" w:lineRule="auto"/>
              <w:rPr>
                <w:szCs w:val="24"/>
              </w:rPr>
            </w:pPr>
            <w:r>
              <w:rPr>
                <w:szCs w:val="24"/>
              </w:rPr>
              <w:t>Industry FE</w:t>
            </w:r>
          </w:p>
        </w:tc>
        <w:tc>
          <w:tcPr>
            <w:tcW w:w="1418" w:type="dxa"/>
            <w:tcBorders>
              <w:top w:val="nil"/>
              <w:left w:val="nil"/>
              <w:bottom w:val="nil"/>
              <w:right w:val="nil"/>
            </w:tcBorders>
          </w:tcPr>
          <w:p w14:paraId="2F11003D" w14:textId="77777777" w:rsidR="00377443" w:rsidRDefault="00377443" w:rsidP="000972AF">
            <w:pPr>
              <w:widowControl w:val="0"/>
              <w:autoSpaceDE w:val="0"/>
              <w:autoSpaceDN w:val="0"/>
              <w:adjustRightInd w:val="0"/>
              <w:spacing w:after="0" w:line="240" w:lineRule="auto"/>
              <w:jc w:val="center"/>
              <w:rPr>
                <w:szCs w:val="24"/>
              </w:rPr>
            </w:pPr>
            <w:r>
              <w:rPr>
                <w:szCs w:val="24"/>
              </w:rPr>
              <w:t>Included</w:t>
            </w:r>
          </w:p>
        </w:tc>
        <w:tc>
          <w:tcPr>
            <w:tcW w:w="1656" w:type="dxa"/>
            <w:tcBorders>
              <w:top w:val="nil"/>
              <w:left w:val="nil"/>
              <w:bottom w:val="nil"/>
              <w:right w:val="nil"/>
            </w:tcBorders>
          </w:tcPr>
          <w:p w14:paraId="3A42F1C9" w14:textId="77777777" w:rsidR="00377443" w:rsidRDefault="00377443" w:rsidP="000972AF">
            <w:pPr>
              <w:widowControl w:val="0"/>
              <w:autoSpaceDE w:val="0"/>
              <w:autoSpaceDN w:val="0"/>
              <w:adjustRightInd w:val="0"/>
              <w:spacing w:after="0" w:line="240" w:lineRule="auto"/>
              <w:jc w:val="center"/>
              <w:rPr>
                <w:szCs w:val="24"/>
              </w:rPr>
            </w:pPr>
            <w:r>
              <w:rPr>
                <w:szCs w:val="24"/>
              </w:rPr>
              <w:t>Included</w:t>
            </w:r>
          </w:p>
        </w:tc>
        <w:tc>
          <w:tcPr>
            <w:tcW w:w="1320" w:type="dxa"/>
            <w:tcBorders>
              <w:top w:val="nil"/>
              <w:left w:val="nil"/>
              <w:bottom w:val="nil"/>
              <w:right w:val="nil"/>
            </w:tcBorders>
          </w:tcPr>
          <w:p w14:paraId="35428CC1" w14:textId="77777777" w:rsidR="00377443" w:rsidRDefault="00377443" w:rsidP="000972AF">
            <w:pPr>
              <w:widowControl w:val="0"/>
              <w:autoSpaceDE w:val="0"/>
              <w:autoSpaceDN w:val="0"/>
              <w:adjustRightInd w:val="0"/>
              <w:spacing w:after="0" w:line="240" w:lineRule="auto"/>
              <w:jc w:val="center"/>
              <w:rPr>
                <w:szCs w:val="24"/>
              </w:rPr>
            </w:pPr>
            <w:r>
              <w:rPr>
                <w:szCs w:val="24"/>
              </w:rPr>
              <w:t>Included</w:t>
            </w:r>
          </w:p>
        </w:tc>
        <w:tc>
          <w:tcPr>
            <w:tcW w:w="1755" w:type="dxa"/>
            <w:tcBorders>
              <w:top w:val="nil"/>
              <w:left w:val="nil"/>
              <w:bottom w:val="nil"/>
              <w:right w:val="nil"/>
            </w:tcBorders>
          </w:tcPr>
          <w:p w14:paraId="551E8EB2" w14:textId="77777777" w:rsidR="00377443" w:rsidRDefault="00377443" w:rsidP="000972AF">
            <w:pPr>
              <w:widowControl w:val="0"/>
              <w:autoSpaceDE w:val="0"/>
              <w:autoSpaceDN w:val="0"/>
              <w:adjustRightInd w:val="0"/>
              <w:spacing w:after="0" w:line="240" w:lineRule="auto"/>
              <w:jc w:val="center"/>
              <w:rPr>
                <w:szCs w:val="24"/>
              </w:rPr>
            </w:pPr>
            <w:r>
              <w:rPr>
                <w:szCs w:val="24"/>
              </w:rPr>
              <w:t>Included</w:t>
            </w:r>
          </w:p>
        </w:tc>
        <w:tc>
          <w:tcPr>
            <w:tcW w:w="1538" w:type="dxa"/>
            <w:tcBorders>
              <w:top w:val="nil"/>
              <w:left w:val="nil"/>
              <w:bottom w:val="nil"/>
              <w:right w:val="nil"/>
            </w:tcBorders>
          </w:tcPr>
          <w:p w14:paraId="1055208D" w14:textId="77777777" w:rsidR="00377443" w:rsidRDefault="00377443" w:rsidP="000972AF">
            <w:pPr>
              <w:widowControl w:val="0"/>
              <w:autoSpaceDE w:val="0"/>
              <w:autoSpaceDN w:val="0"/>
              <w:adjustRightInd w:val="0"/>
              <w:spacing w:after="0" w:line="240" w:lineRule="auto"/>
              <w:jc w:val="center"/>
              <w:rPr>
                <w:szCs w:val="24"/>
              </w:rPr>
            </w:pPr>
            <w:r>
              <w:rPr>
                <w:szCs w:val="24"/>
              </w:rPr>
              <w:t>Included</w:t>
            </w:r>
          </w:p>
        </w:tc>
      </w:tr>
      <w:tr w:rsidR="00377443" w14:paraId="32827B02" w14:textId="77777777" w:rsidTr="000972AF">
        <w:trPr>
          <w:jc w:val="center"/>
        </w:trPr>
        <w:tc>
          <w:tcPr>
            <w:tcW w:w="3101" w:type="dxa"/>
            <w:tcBorders>
              <w:top w:val="nil"/>
              <w:left w:val="nil"/>
              <w:bottom w:val="nil"/>
              <w:right w:val="nil"/>
            </w:tcBorders>
          </w:tcPr>
          <w:p w14:paraId="0ACC8142" w14:textId="77777777" w:rsidR="00377443" w:rsidRDefault="00377443" w:rsidP="000972AF">
            <w:pPr>
              <w:widowControl w:val="0"/>
              <w:autoSpaceDE w:val="0"/>
              <w:autoSpaceDN w:val="0"/>
              <w:adjustRightInd w:val="0"/>
              <w:spacing w:after="0" w:line="240" w:lineRule="auto"/>
              <w:rPr>
                <w:szCs w:val="24"/>
              </w:rPr>
            </w:pPr>
            <w:r>
              <w:rPr>
                <w:szCs w:val="24"/>
              </w:rPr>
              <w:t>County FE</w:t>
            </w:r>
          </w:p>
        </w:tc>
        <w:tc>
          <w:tcPr>
            <w:tcW w:w="1418" w:type="dxa"/>
            <w:tcBorders>
              <w:top w:val="nil"/>
              <w:left w:val="nil"/>
              <w:bottom w:val="nil"/>
              <w:right w:val="nil"/>
            </w:tcBorders>
          </w:tcPr>
          <w:p w14:paraId="62877D11" w14:textId="77777777" w:rsidR="00377443" w:rsidRDefault="00377443" w:rsidP="000972AF">
            <w:pPr>
              <w:widowControl w:val="0"/>
              <w:autoSpaceDE w:val="0"/>
              <w:autoSpaceDN w:val="0"/>
              <w:adjustRightInd w:val="0"/>
              <w:spacing w:after="0" w:line="240" w:lineRule="auto"/>
              <w:jc w:val="center"/>
              <w:rPr>
                <w:szCs w:val="24"/>
              </w:rPr>
            </w:pPr>
            <w:r>
              <w:rPr>
                <w:szCs w:val="24"/>
              </w:rPr>
              <w:t>Included</w:t>
            </w:r>
          </w:p>
        </w:tc>
        <w:tc>
          <w:tcPr>
            <w:tcW w:w="1656" w:type="dxa"/>
            <w:tcBorders>
              <w:top w:val="nil"/>
              <w:left w:val="nil"/>
              <w:bottom w:val="nil"/>
              <w:right w:val="nil"/>
            </w:tcBorders>
          </w:tcPr>
          <w:p w14:paraId="02D5E8F2" w14:textId="77777777" w:rsidR="00377443" w:rsidRDefault="00377443" w:rsidP="000972AF">
            <w:pPr>
              <w:widowControl w:val="0"/>
              <w:autoSpaceDE w:val="0"/>
              <w:autoSpaceDN w:val="0"/>
              <w:adjustRightInd w:val="0"/>
              <w:spacing w:after="0" w:line="240" w:lineRule="auto"/>
              <w:jc w:val="center"/>
              <w:rPr>
                <w:szCs w:val="24"/>
              </w:rPr>
            </w:pPr>
            <w:r>
              <w:rPr>
                <w:szCs w:val="24"/>
              </w:rPr>
              <w:t>Included</w:t>
            </w:r>
          </w:p>
        </w:tc>
        <w:tc>
          <w:tcPr>
            <w:tcW w:w="1320" w:type="dxa"/>
            <w:tcBorders>
              <w:top w:val="nil"/>
              <w:left w:val="nil"/>
              <w:bottom w:val="nil"/>
              <w:right w:val="nil"/>
            </w:tcBorders>
          </w:tcPr>
          <w:p w14:paraId="63563160" w14:textId="77777777" w:rsidR="00377443" w:rsidRDefault="00377443" w:rsidP="000972AF">
            <w:pPr>
              <w:widowControl w:val="0"/>
              <w:autoSpaceDE w:val="0"/>
              <w:autoSpaceDN w:val="0"/>
              <w:adjustRightInd w:val="0"/>
              <w:spacing w:after="0" w:line="240" w:lineRule="auto"/>
              <w:jc w:val="center"/>
              <w:rPr>
                <w:szCs w:val="24"/>
              </w:rPr>
            </w:pPr>
            <w:r>
              <w:rPr>
                <w:szCs w:val="24"/>
              </w:rPr>
              <w:t>Included</w:t>
            </w:r>
          </w:p>
        </w:tc>
        <w:tc>
          <w:tcPr>
            <w:tcW w:w="1755" w:type="dxa"/>
            <w:tcBorders>
              <w:top w:val="nil"/>
              <w:left w:val="nil"/>
              <w:bottom w:val="nil"/>
              <w:right w:val="nil"/>
            </w:tcBorders>
          </w:tcPr>
          <w:p w14:paraId="7CB1292F" w14:textId="77777777" w:rsidR="00377443" w:rsidRDefault="00377443" w:rsidP="000972AF">
            <w:pPr>
              <w:widowControl w:val="0"/>
              <w:autoSpaceDE w:val="0"/>
              <w:autoSpaceDN w:val="0"/>
              <w:adjustRightInd w:val="0"/>
              <w:spacing w:after="0" w:line="240" w:lineRule="auto"/>
              <w:jc w:val="center"/>
              <w:rPr>
                <w:szCs w:val="24"/>
              </w:rPr>
            </w:pPr>
            <w:r>
              <w:rPr>
                <w:szCs w:val="24"/>
              </w:rPr>
              <w:t>Included</w:t>
            </w:r>
          </w:p>
        </w:tc>
        <w:tc>
          <w:tcPr>
            <w:tcW w:w="1538" w:type="dxa"/>
            <w:tcBorders>
              <w:top w:val="nil"/>
              <w:left w:val="nil"/>
              <w:bottom w:val="nil"/>
              <w:right w:val="nil"/>
            </w:tcBorders>
          </w:tcPr>
          <w:p w14:paraId="3385E3D7" w14:textId="77777777" w:rsidR="00377443" w:rsidRDefault="00377443" w:rsidP="000972AF">
            <w:pPr>
              <w:widowControl w:val="0"/>
              <w:autoSpaceDE w:val="0"/>
              <w:autoSpaceDN w:val="0"/>
              <w:adjustRightInd w:val="0"/>
              <w:spacing w:after="0" w:line="240" w:lineRule="auto"/>
              <w:jc w:val="center"/>
              <w:rPr>
                <w:szCs w:val="24"/>
              </w:rPr>
            </w:pPr>
            <w:r>
              <w:rPr>
                <w:szCs w:val="24"/>
              </w:rPr>
              <w:t>Included</w:t>
            </w:r>
          </w:p>
        </w:tc>
      </w:tr>
      <w:tr w:rsidR="00377443" w14:paraId="7884738F" w14:textId="77777777" w:rsidTr="000972AF">
        <w:trPr>
          <w:jc w:val="center"/>
        </w:trPr>
        <w:tc>
          <w:tcPr>
            <w:tcW w:w="3101" w:type="dxa"/>
            <w:tcBorders>
              <w:top w:val="nil"/>
              <w:left w:val="nil"/>
              <w:bottom w:val="nil"/>
              <w:right w:val="nil"/>
            </w:tcBorders>
          </w:tcPr>
          <w:p w14:paraId="52B5D5A4" w14:textId="77777777" w:rsidR="00377443" w:rsidRDefault="00377443" w:rsidP="000972AF">
            <w:pPr>
              <w:widowControl w:val="0"/>
              <w:autoSpaceDE w:val="0"/>
              <w:autoSpaceDN w:val="0"/>
              <w:adjustRightInd w:val="0"/>
              <w:spacing w:after="0" w:line="240" w:lineRule="auto"/>
              <w:rPr>
                <w:szCs w:val="24"/>
              </w:rPr>
            </w:pPr>
            <w:r>
              <w:rPr>
                <w:szCs w:val="24"/>
              </w:rPr>
              <w:t>Year FE</w:t>
            </w:r>
          </w:p>
        </w:tc>
        <w:tc>
          <w:tcPr>
            <w:tcW w:w="1418" w:type="dxa"/>
            <w:tcBorders>
              <w:top w:val="nil"/>
              <w:left w:val="nil"/>
              <w:bottom w:val="nil"/>
              <w:right w:val="nil"/>
            </w:tcBorders>
          </w:tcPr>
          <w:p w14:paraId="24D1CD38" w14:textId="77777777" w:rsidR="00377443" w:rsidRDefault="00377443" w:rsidP="000972AF">
            <w:pPr>
              <w:widowControl w:val="0"/>
              <w:autoSpaceDE w:val="0"/>
              <w:autoSpaceDN w:val="0"/>
              <w:adjustRightInd w:val="0"/>
              <w:spacing w:after="0" w:line="240" w:lineRule="auto"/>
              <w:jc w:val="center"/>
              <w:rPr>
                <w:szCs w:val="24"/>
              </w:rPr>
            </w:pPr>
            <w:r>
              <w:rPr>
                <w:szCs w:val="24"/>
              </w:rPr>
              <w:t>Included</w:t>
            </w:r>
          </w:p>
        </w:tc>
        <w:tc>
          <w:tcPr>
            <w:tcW w:w="1656" w:type="dxa"/>
            <w:tcBorders>
              <w:top w:val="nil"/>
              <w:left w:val="nil"/>
              <w:bottom w:val="nil"/>
              <w:right w:val="nil"/>
            </w:tcBorders>
          </w:tcPr>
          <w:p w14:paraId="1FBAB29D" w14:textId="77777777" w:rsidR="00377443" w:rsidRDefault="00377443" w:rsidP="000972AF">
            <w:pPr>
              <w:widowControl w:val="0"/>
              <w:autoSpaceDE w:val="0"/>
              <w:autoSpaceDN w:val="0"/>
              <w:adjustRightInd w:val="0"/>
              <w:spacing w:after="0" w:line="240" w:lineRule="auto"/>
              <w:jc w:val="center"/>
              <w:rPr>
                <w:szCs w:val="24"/>
              </w:rPr>
            </w:pPr>
            <w:r>
              <w:rPr>
                <w:szCs w:val="24"/>
              </w:rPr>
              <w:t>Included</w:t>
            </w:r>
          </w:p>
        </w:tc>
        <w:tc>
          <w:tcPr>
            <w:tcW w:w="1320" w:type="dxa"/>
            <w:tcBorders>
              <w:top w:val="nil"/>
              <w:left w:val="nil"/>
              <w:bottom w:val="nil"/>
              <w:right w:val="nil"/>
            </w:tcBorders>
          </w:tcPr>
          <w:p w14:paraId="5862FFA2" w14:textId="77777777" w:rsidR="00377443" w:rsidRDefault="00377443" w:rsidP="000972AF">
            <w:pPr>
              <w:widowControl w:val="0"/>
              <w:autoSpaceDE w:val="0"/>
              <w:autoSpaceDN w:val="0"/>
              <w:adjustRightInd w:val="0"/>
              <w:spacing w:after="0" w:line="240" w:lineRule="auto"/>
              <w:jc w:val="center"/>
              <w:rPr>
                <w:szCs w:val="24"/>
              </w:rPr>
            </w:pPr>
            <w:r>
              <w:rPr>
                <w:szCs w:val="24"/>
              </w:rPr>
              <w:t>Included</w:t>
            </w:r>
          </w:p>
        </w:tc>
        <w:tc>
          <w:tcPr>
            <w:tcW w:w="1755" w:type="dxa"/>
            <w:tcBorders>
              <w:top w:val="nil"/>
              <w:left w:val="nil"/>
              <w:bottom w:val="nil"/>
              <w:right w:val="nil"/>
            </w:tcBorders>
          </w:tcPr>
          <w:p w14:paraId="68F5D872" w14:textId="77777777" w:rsidR="00377443" w:rsidRDefault="00377443" w:rsidP="000972AF">
            <w:pPr>
              <w:widowControl w:val="0"/>
              <w:autoSpaceDE w:val="0"/>
              <w:autoSpaceDN w:val="0"/>
              <w:adjustRightInd w:val="0"/>
              <w:spacing w:after="0" w:line="240" w:lineRule="auto"/>
              <w:jc w:val="center"/>
              <w:rPr>
                <w:szCs w:val="24"/>
              </w:rPr>
            </w:pPr>
            <w:r>
              <w:rPr>
                <w:szCs w:val="24"/>
              </w:rPr>
              <w:t>Included</w:t>
            </w:r>
          </w:p>
        </w:tc>
        <w:tc>
          <w:tcPr>
            <w:tcW w:w="1538" w:type="dxa"/>
            <w:tcBorders>
              <w:top w:val="nil"/>
              <w:left w:val="nil"/>
              <w:bottom w:val="nil"/>
              <w:right w:val="nil"/>
            </w:tcBorders>
          </w:tcPr>
          <w:p w14:paraId="3A7D6B26" w14:textId="77777777" w:rsidR="00377443" w:rsidRDefault="00377443" w:rsidP="000972AF">
            <w:pPr>
              <w:widowControl w:val="0"/>
              <w:autoSpaceDE w:val="0"/>
              <w:autoSpaceDN w:val="0"/>
              <w:adjustRightInd w:val="0"/>
              <w:spacing w:after="0" w:line="240" w:lineRule="auto"/>
              <w:jc w:val="center"/>
              <w:rPr>
                <w:szCs w:val="24"/>
              </w:rPr>
            </w:pPr>
            <w:r>
              <w:rPr>
                <w:szCs w:val="24"/>
              </w:rPr>
              <w:t>Included</w:t>
            </w:r>
          </w:p>
        </w:tc>
      </w:tr>
      <w:tr w:rsidR="00377443" w14:paraId="05EB3C71" w14:textId="77777777" w:rsidTr="000972AF">
        <w:trPr>
          <w:jc w:val="center"/>
        </w:trPr>
        <w:tc>
          <w:tcPr>
            <w:tcW w:w="3101" w:type="dxa"/>
            <w:tcBorders>
              <w:top w:val="nil"/>
              <w:left w:val="nil"/>
              <w:bottom w:val="nil"/>
              <w:right w:val="nil"/>
            </w:tcBorders>
          </w:tcPr>
          <w:p w14:paraId="0C521E3A" w14:textId="77777777" w:rsidR="00377443" w:rsidRDefault="00377443" w:rsidP="000972AF">
            <w:pPr>
              <w:widowControl w:val="0"/>
              <w:autoSpaceDE w:val="0"/>
              <w:autoSpaceDN w:val="0"/>
              <w:adjustRightInd w:val="0"/>
              <w:spacing w:after="0" w:line="240" w:lineRule="auto"/>
              <w:rPr>
                <w:szCs w:val="24"/>
              </w:rPr>
            </w:pPr>
          </w:p>
        </w:tc>
        <w:tc>
          <w:tcPr>
            <w:tcW w:w="1418" w:type="dxa"/>
            <w:tcBorders>
              <w:top w:val="nil"/>
              <w:left w:val="nil"/>
              <w:bottom w:val="nil"/>
              <w:right w:val="nil"/>
            </w:tcBorders>
          </w:tcPr>
          <w:p w14:paraId="455E527D" w14:textId="77777777" w:rsidR="00377443" w:rsidRDefault="00377443" w:rsidP="000972AF">
            <w:pPr>
              <w:widowControl w:val="0"/>
              <w:autoSpaceDE w:val="0"/>
              <w:autoSpaceDN w:val="0"/>
              <w:adjustRightInd w:val="0"/>
              <w:spacing w:after="0" w:line="240" w:lineRule="auto"/>
              <w:jc w:val="center"/>
              <w:rPr>
                <w:szCs w:val="24"/>
              </w:rPr>
            </w:pPr>
          </w:p>
        </w:tc>
        <w:tc>
          <w:tcPr>
            <w:tcW w:w="1656" w:type="dxa"/>
            <w:tcBorders>
              <w:top w:val="nil"/>
              <w:left w:val="nil"/>
              <w:bottom w:val="nil"/>
              <w:right w:val="nil"/>
            </w:tcBorders>
          </w:tcPr>
          <w:p w14:paraId="4E8F60D2" w14:textId="77777777" w:rsidR="00377443" w:rsidRDefault="00377443" w:rsidP="000972AF">
            <w:pPr>
              <w:widowControl w:val="0"/>
              <w:autoSpaceDE w:val="0"/>
              <w:autoSpaceDN w:val="0"/>
              <w:adjustRightInd w:val="0"/>
              <w:spacing w:after="0" w:line="240" w:lineRule="auto"/>
              <w:jc w:val="center"/>
              <w:rPr>
                <w:szCs w:val="24"/>
              </w:rPr>
            </w:pPr>
          </w:p>
        </w:tc>
        <w:tc>
          <w:tcPr>
            <w:tcW w:w="1320" w:type="dxa"/>
            <w:tcBorders>
              <w:top w:val="nil"/>
              <w:left w:val="nil"/>
              <w:bottom w:val="nil"/>
              <w:right w:val="nil"/>
            </w:tcBorders>
          </w:tcPr>
          <w:p w14:paraId="6D824934" w14:textId="77777777" w:rsidR="00377443" w:rsidRDefault="00377443" w:rsidP="000972AF">
            <w:pPr>
              <w:widowControl w:val="0"/>
              <w:autoSpaceDE w:val="0"/>
              <w:autoSpaceDN w:val="0"/>
              <w:adjustRightInd w:val="0"/>
              <w:spacing w:after="0" w:line="240" w:lineRule="auto"/>
              <w:jc w:val="center"/>
              <w:rPr>
                <w:szCs w:val="24"/>
              </w:rPr>
            </w:pPr>
          </w:p>
        </w:tc>
        <w:tc>
          <w:tcPr>
            <w:tcW w:w="1755" w:type="dxa"/>
            <w:tcBorders>
              <w:top w:val="nil"/>
              <w:left w:val="nil"/>
              <w:bottom w:val="nil"/>
              <w:right w:val="nil"/>
            </w:tcBorders>
          </w:tcPr>
          <w:p w14:paraId="3A3F45D4" w14:textId="77777777" w:rsidR="00377443" w:rsidRDefault="00377443" w:rsidP="000972AF">
            <w:pPr>
              <w:widowControl w:val="0"/>
              <w:autoSpaceDE w:val="0"/>
              <w:autoSpaceDN w:val="0"/>
              <w:adjustRightInd w:val="0"/>
              <w:spacing w:after="0" w:line="240" w:lineRule="auto"/>
              <w:jc w:val="center"/>
              <w:rPr>
                <w:szCs w:val="24"/>
              </w:rPr>
            </w:pPr>
          </w:p>
        </w:tc>
        <w:tc>
          <w:tcPr>
            <w:tcW w:w="1538" w:type="dxa"/>
            <w:tcBorders>
              <w:top w:val="nil"/>
              <w:left w:val="nil"/>
              <w:bottom w:val="nil"/>
              <w:right w:val="nil"/>
            </w:tcBorders>
          </w:tcPr>
          <w:p w14:paraId="2866AC43" w14:textId="77777777" w:rsidR="00377443" w:rsidRDefault="00377443" w:rsidP="000972AF">
            <w:pPr>
              <w:widowControl w:val="0"/>
              <w:autoSpaceDE w:val="0"/>
              <w:autoSpaceDN w:val="0"/>
              <w:adjustRightInd w:val="0"/>
              <w:spacing w:after="0" w:line="240" w:lineRule="auto"/>
              <w:jc w:val="center"/>
              <w:rPr>
                <w:szCs w:val="24"/>
              </w:rPr>
            </w:pPr>
          </w:p>
        </w:tc>
      </w:tr>
      <w:tr w:rsidR="00377443" w14:paraId="15045F11" w14:textId="77777777" w:rsidTr="000972AF">
        <w:trPr>
          <w:jc w:val="center"/>
        </w:trPr>
        <w:tc>
          <w:tcPr>
            <w:tcW w:w="3101" w:type="dxa"/>
            <w:tcBorders>
              <w:top w:val="nil"/>
              <w:left w:val="nil"/>
              <w:bottom w:val="nil"/>
              <w:right w:val="nil"/>
            </w:tcBorders>
          </w:tcPr>
          <w:p w14:paraId="2C7A7413" w14:textId="77777777" w:rsidR="00377443" w:rsidRDefault="00377443" w:rsidP="000972AF">
            <w:pPr>
              <w:widowControl w:val="0"/>
              <w:autoSpaceDE w:val="0"/>
              <w:autoSpaceDN w:val="0"/>
              <w:adjustRightInd w:val="0"/>
              <w:spacing w:after="0" w:line="240" w:lineRule="auto"/>
              <w:rPr>
                <w:szCs w:val="24"/>
              </w:rPr>
            </w:pPr>
            <w:r>
              <w:rPr>
                <w:szCs w:val="24"/>
              </w:rPr>
              <w:t>Constant</w:t>
            </w:r>
          </w:p>
        </w:tc>
        <w:tc>
          <w:tcPr>
            <w:tcW w:w="1418" w:type="dxa"/>
            <w:tcBorders>
              <w:top w:val="nil"/>
              <w:left w:val="nil"/>
              <w:bottom w:val="nil"/>
              <w:right w:val="nil"/>
            </w:tcBorders>
          </w:tcPr>
          <w:p w14:paraId="70C3B924" w14:textId="77777777" w:rsidR="00377443" w:rsidRDefault="00377443" w:rsidP="000972AF">
            <w:pPr>
              <w:widowControl w:val="0"/>
              <w:autoSpaceDE w:val="0"/>
              <w:autoSpaceDN w:val="0"/>
              <w:adjustRightInd w:val="0"/>
              <w:spacing w:after="0" w:line="240" w:lineRule="auto"/>
              <w:jc w:val="center"/>
              <w:rPr>
                <w:szCs w:val="24"/>
              </w:rPr>
            </w:pPr>
            <w:r>
              <w:rPr>
                <w:szCs w:val="24"/>
              </w:rPr>
              <w:t>0.06***</w:t>
            </w:r>
          </w:p>
        </w:tc>
        <w:tc>
          <w:tcPr>
            <w:tcW w:w="1656" w:type="dxa"/>
            <w:tcBorders>
              <w:top w:val="nil"/>
              <w:left w:val="nil"/>
              <w:bottom w:val="nil"/>
              <w:right w:val="nil"/>
            </w:tcBorders>
          </w:tcPr>
          <w:p w14:paraId="1FA29BC8" w14:textId="77777777" w:rsidR="00377443" w:rsidRDefault="00377443" w:rsidP="000972AF">
            <w:pPr>
              <w:widowControl w:val="0"/>
              <w:autoSpaceDE w:val="0"/>
              <w:autoSpaceDN w:val="0"/>
              <w:adjustRightInd w:val="0"/>
              <w:spacing w:after="0" w:line="240" w:lineRule="auto"/>
              <w:jc w:val="center"/>
              <w:rPr>
                <w:szCs w:val="24"/>
              </w:rPr>
            </w:pPr>
            <w:r>
              <w:rPr>
                <w:szCs w:val="24"/>
              </w:rPr>
              <w:t>0.04***</w:t>
            </w:r>
          </w:p>
        </w:tc>
        <w:tc>
          <w:tcPr>
            <w:tcW w:w="1320" w:type="dxa"/>
            <w:tcBorders>
              <w:top w:val="nil"/>
              <w:left w:val="nil"/>
              <w:bottom w:val="nil"/>
              <w:right w:val="nil"/>
            </w:tcBorders>
          </w:tcPr>
          <w:p w14:paraId="3C3F0B51" w14:textId="77777777" w:rsidR="00377443" w:rsidRDefault="00377443" w:rsidP="000972AF">
            <w:pPr>
              <w:widowControl w:val="0"/>
              <w:autoSpaceDE w:val="0"/>
              <w:autoSpaceDN w:val="0"/>
              <w:adjustRightInd w:val="0"/>
              <w:spacing w:after="0" w:line="240" w:lineRule="auto"/>
              <w:jc w:val="center"/>
              <w:rPr>
                <w:szCs w:val="24"/>
              </w:rPr>
            </w:pPr>
            <w:r>
              <w:rPr>
                <w:szCs w:val="24"/>
              </w:rPr>
              <w:t>0.14***</w:t>
            </w:r>
          </w:p>
        </w:tc>
        <w:tc>
          <w:tcPr>
            <w:tcW w:w="1755" w:type="dxa"/>
            <w:tcBorders>
              <w:top w:val="nil"/>
              <w:left w:val="nil"/>
              <w:bottom w:val="nil"/>
              <w:right w:val="nil"/>
            </w:tcBorders>
          </w:tcPr>
          <w:p w14:paraId="59A1FD16" w14:textId="77777777" w:rsidR="00377443" w:rsidRDefault="00377443" w:rsidP="000972AF">
            <w:pPr>
              <w:widowControl w:val="0"/>
              <w:autoSpaceDE w:val="0"/>
              <w:autoSpaceDN w:val="0"/>
              <w:adjustRightInd w:val="0"/>
              <w:spacing w:after="0" w:line="240" w:lineRule="auto"/>
              <w:jc w:val="center"/>
              <w:rPr>
                <w:szCs w:val="24"/>
              </w:rPr>
            </w:pPr>
            <w:r>
              <w:rPr>
                <w:szCs w:val="24"/>
              </w:rPr>
              <w:t>0.09***</w:t>
            </w:r>
          </w:p>
        </w:tc>
        <w:tc>
          <w:tcPr>
            <w:tcW w:w="1538" w:type="dxa"/>
            <w:tcBorders>
              <w:top w:val="nil"/>
              <w:left w:val="nil"/>
              <w:bottom w:val="nil"/>
              <w:right w:val="nil"/>
            </w:tcBorders>
          </w:tcPr>
          <w:p w14:paraId="36772CF4" w14:textId="77777777" w:rsidR="00377443" w:rsidRDefault="00377443" w:rsidP="000972AF">
            <w:pPr>
              <w:widowControl w:val="0"/>
              <w:autoSpaceDE w:val="0"/>
              <w:autoSpaceDN w:val="0"/>
              <w:adjustRightInd w:val="0"/>
              <w:spacing w:after="0" w:line="240" w:lineRule="auto"/>
              <w:jc w:val="center"/>
              <w:rPr>
                <w:szCs w:val="24"/>
              </w:rPr>
            </w:pPr>
            <w:r>
              <w:rPr>
                <w:szCs w:val="24"/>
              </w:rPr>
              <w:t>0.09***</w:t>
            </w:r>
          </w:p>
        </w:tc>
      </w:tr>
      <w:tr w:rsidR="00377443" w14:paraId="585CAB42" w14:textId="77777777" w:rsidTr="000972AF">
        <w:trPr>
          <w:jc w:val="center"/>
        </w:trPr>
        <w:tc>
          <w:tcPr>
            <w:tcW w:w="3101" w:type="dxa"/>
            <w:tcBorders>
              <w:top w:val="nil"/>
              <w:left w:val="nil"/>
              <w:bottom w:val="nil"/>
              <w:right w:val="nil"/>
            </w:tcBorders>
          </w:tcPr>
          <w:p w14:paraId="63BFBB28" w14:textId="77777777" w:rsidR="00377443" w:rsidRDefault="00377443" w:rsidP="000972AF">
            <w:pPr>
              <w:widowControl w:val="0"/>
              <w:autoSpaceDE w:val="0"/>
              <w:autoSpaceDN w:val="0"/>
              <w:adjustRightInd w:val="0"/>
              <w:spacing w:after="0" w:line="240" w:lineRule="auto"/>
              <w:rPr>
                <w:szCs w:val="24"/>
              </w:rPr>
            </w:pPr>
          </w:p>
        </w:tc>
        <w:tc>
          <w:tcPr>
            <w:tcW w:w="1418" w:type="dxa"/>
            <w:tcBorders>
              <w:top w:val="nil"/>
              <w:left w:val="nil"/>
              <w:bottom w:val="nil"/>
              <w:right w:val="nil"/>
            </w:tcBorders>
          </w:tcPr>
          <w:p w14:paraId="4D7BDF46" w14:textId="77777777" w:rsidR="00377443" w:rsidRDefault="00377443" w:rsidP="000972AF">
            <w:pPr>
              <w:widowControl w:val="0"/>
              <w:autoSpaceDE w:val="0"/>
              <w:autoSpaceDN w:val="0"/>
              <w:adjustRightInd w:val="0"/>
              <w:spacing w:after="0" w:line="240" w:lineRule="auto"/>
              <w:jc w:val="center"/>
              <w:rPr>
                <w:szCs w:val="24"/>
              </w:rPr>
            </w:pPr>
            <w:r>
              <w:rPr>
                <w:szCs w:val="24"/>
              </w:rPr>
              <w:t>(0.02)</w:t>
            </w:r>
          </w:p>
        </w:tc>
        <w:tc>
          <w:tcPr>
            <w:tcW w:w="1656" w:type="dxa"/>
            <w:tcBorders>
              <w:top w:val="nil"/>
              <w:left w:val="nil"/>
              <w:bottom w:val="nil"/>
              <w:right w:val="nil"/>
            </w:tcBorders>
          </w:tcPr>
          <w:p w14:paraId="24314FEE" w14:textId="77777777" w:rsidR="00377443" w:rsidRDefault="00377443" w:rsidP="000972AF">
            <w:pPr>
              <w:widowControl w:val="0"/>
              <w:autoSpaceDE w:val="0"/>
              <w:autoSpaceDN w:val="0"/>
              <w:adjustRightInd w:val="0"/>
              <w:spacing w:after="0" w:line="240" w:lineRule="auto"/>
              <w:jc w:val="center"/>
              <w:rPr>
                <w:szCs w:val="24"/>
              </w:rPr>
            </w:pPr>
            <w:r>
              <w:rPr>
                <w:szCs w:val="24"/>
              </w:rPr>
              <w:t>(0.02)</w:t>
            </w:r>
          </w:p>
        </w:tc>
        <w:tc>
          <w:tcPr>
            <w:tcW w:w="1320" w:type="dxa"/>
            <w:tcBorders>
              <w:top w:val="nil"/>
              <w:left w:val="nil"/>
              <w:bottom w:val="nil"/>
              <w:right w:val="nil"/>
            </w:tcBorders>
          </w:tcPr>
          <w:p w14:paraId="12D42C97" w14:textId="77777777" w:rsidR="00377443" w:rsidRDefault="00377443" w:rsidP="000972AF">
            <w:pPr>
              <w:widowControl w:val="0"/>
              <w:autoSpaceDE w:val="0"/>
              <w:autoSpaceDN w:val="0"/>
              <w:adjustRightInd w:val="0"/>
              <w:spacing w:after="0" w:line="240" w:lineRule="auto"/>
              <w:jc w:val="center"/>
              <w:rPr>
                <w:szCs w:val="24"/>
              </w:rPr>
            </w:pPr>
            <w:r>
              <w:rPr>
                <w:szCs w:val="24"/>
              </w:rPr>
              <w:t>(0.05)</w:t>
            </w:r>
          </w:p>
        </w:tc>
        <w:tc>
          <w:tcPr>
            <w:tcW w:w="1755" w:type="dxa"/>
            <w:tcBorders>
              <w:top w:val="nil"/>
              <w:left w:val="nil"/>
              <w:bottom w:val="nil"/>
              <w:right w:val="nil"/>
            </w:tcBorders>
          </w:tcPr>
          <w:p w14:paraId="70BF4923" w14:textId="77777777" w:rsidR="00377443" w:rsidRDefault="00377443" w:rsidP="000972AF">
            <w:pPr>
              <w:widowControl w:val="0"/>
              <w:autoSpaceDE w:val="0"/>
              <w:autoSpaceDN w:val="0"/>
              <w:adjustRightInd w:val="0"/>
              <w:spacing w:after="0" w:line="240" w:lineRule="auto"/>
              <w:jc w:val="center"/>
              <w:rPr>
                <w:szCs w:val="24"/>
              </w:rPr>
            </w:pPr>
            <w:r>
              <w:rPr>
                <w:szCs w:val="24"/>
              </w:rPr>
              <w:t>(0.03)</w:t>
            </w:r>
          </w:p>
        </w:tc>
        <w:tc>
          <w:tcPr>
            <w:tcW w:w="1538" w:type="dxa"/>
            <w:tcBorders>
              <w:top w:val="nil"/>
              <w:left w:val="nil"/>
              <w:bottom w:val="nil"/>
              <w:right w:val="nil"/>
            </w:tcBorders>
          </w:tcPr>
          <w:p w14:paraId="7565AAF7" w14:textId="77777777" w:rsidR="00377443" w:rsidRDefault="00377443" w:rsidP="000972AF">
            <w:pPr>
              <w:widowControl w:val="0"/>
              <w:autoSpaceDE w:val="0"/>
              <w:autoSpaceDN w:val="0"/>
              <w:adjustRightInd w:val="0"/>
              <w:spacing w:after="0" w:line="240" w:lineRule="auto"/>
              <w:jc w:val="center"/>
              <w:rPr>
                <w:szCs w:val="24"/>
              </w:rPr>
            </w:pPr>
            <w:r>
              <w:rPr>
                <w:szCs w:val="24"/>
              </w:rPr>
              <w:t>(0.03)</w:t>
            </w:r>
          </w:p>
        </w:tc>
      </w:tr>
      <w:tr w:rsidR="00377443" w14:paraId="1FAB2CBF" w14:textId="77777777" w:rsidTr="000972AF">
        <w:trPr>
          <w:jc w:val="center"/>
        </w:trPr>
        <w:tc>
          <w:tcPr>
            <w:tcW w:w="3101" w:type="dxa"/>
            <w:tcBorders>
              <w:top w:val="nil"/>
              <w:left w:val="nil"/>
              <w:bottom w:val="nil"/>
              <w:right w:val="nil"/>
            </w:tcBorders>
          </w:tcPr>
          <w:p w14:paraId="7622E19C" w14:textId="77777777" w:rsidR="00377443" w:rsidRDefault="00377443" w:rsidP="000972AF">
            <w:pPr>
              <w:widowControl w:val="0"/>
              <w:autoSpaceDE w:val="0"/>
              <w:autoSpaceDN w:val="0"/>
              <w:adjustRightInd w:val="0"/>
              <w:spacing w:after="0" w:line="240" w:lineRule="auto"/>
              <w:rPr>
                <w:szCs w:val="24"/>
              </w:rPr>
            </w:pPr>
          </w:p>
        </w:tc>
        <w:tc>
          <w:tcPr>
            <w:tcW w:w="1418" w:type="dxa"/>
            <w:tcBorders>
              <w:top w:val="nil"/>
              <w:left w:val="nil"/>
              <w:bottom w:val="nil"/>
              <w:right w:val="nil"/>
            </w:tcBorders>
          </w:tcPr>
          <w:p w14:paraId="33360752" w14:textId="77777777" w:rsidR="00377443" w:rsidRDefault="00377443" w:rsidP="000972AF">
            <w:pPr>
              <w:widowControl w:val="0"/>
              <w:autoSpaceDE w:val="0"/>
              <w:autoSpaceDN w:val="0"/>
              <w:adjustRightInd w:val="0"/>
              <w:spacing w:after="0" w:line="240" w:lineRule="auto"/>
              <w:jc w:val="center"/>
              <w:rPr>
                <w:szCs w:val="24"/>
              </w:rPr>
            </w:pPr>
          </w:p>
        </w:tc>
        <w:tc>
          <w:tcPr>
            <w:tcW w:w="1656" w:type="dxa"/>
            <w:tcBorders>
              <w:top w:val="nil"/>
              <w:left w:val="nil"/>
              <w:bottom w:val="nil"/>
              <w:right w:val="nil"/>
            </w:tcBorders>
          </w:tcPr>
          <w:p w14:paraId="3AC3B320" w14:textId="77777777" w:rsidR="00377443" w:rsidRDefault="00377443" w:rsidP="000972AF">
            <w:pPr>
              <w:widowControl w:val="0"/>
              <w:autoSpaceDE w:val="0"/>
              <w:autoSpaceDN w:val="0"/>
              <w:adjustRightInd w:val="0"/>
              <w:spacing w:after="0" w:line="240" w:lineRule="auto"/>
              <w:jc w:val="center"/>
              <w:rPr>
                <w:szCs w:val="24"/>
              </w:rPr>
            </w:pPr>
          </w:p>
        </w:tc>
        <w:tc>
          <w:tcPr>
            <w:tcW w:w="1320" w:type="dxa"/>
            <w:tcBorders>
              <w:top w:val="nil"/>
              <w:left w:val="nil"/>
              <w:bottom w:val="nil"/>
              <w:right w:val="nil"/>
            </w:tcBorders>
          </w:tcPr>
          <w:p w14:paraId="00BBA068" w14:textId="77777777" w:rsidR="00377443" w:rsidRDefault="00377443" w:rsidP="000972AF">
            <w:pPr>
              <w:widowControl w:val="0"/>
              <w:autoSpaceDE w:val="0"/>
              <w:autoSpaceDN w:val="0"/>
              <w:adjustRightInd w:val="0"/>
              <w:spacing w:after="0" w:line="240" w:lineRule="auto"/>
              <w:jc w:val="center"/>
              <w:rPr>
                <w:szCs w:val="24"/>
              </w:rPr>
            </w:pPr>
          </w:p>
        </w:tc>
        <w:tc>
          <w:tcPr>
            <w:tcW w:w="1755" w:type="dxa"/>
            <w:tcBorders>
              <w:top w:val="nil"/>
              <w:left w:val="nil"/>
              <w:bottom w:val="nil"/>
              <w:right w:val="nil"/>
            </w:tcBorders>
          </w:tcPr>
          <w:p w14:paraId="390557B9" w14:textId="77777777" w:rsidR="00377443" w:rsidRDefault="00377443" w:rsidP="000972AF">
            <w:pPr>
              <w:widowControl w:val="0"/>
              <w:autoSpaceDE w:val="0"/>
              <w:autoSpaceDN w:val="0"/>
              <w:adjustRightInd w:val="0"/>
              <w:spacing w:after="0" w:line="240" w:lineRule="auto"/>
              <w:jc w:val="center"/>
              <w:rPr>
                <w:szCs w:val="24"/>
              </w:rPr>
            </w:pPr>
          </w:p>
        </w:tc>
        <w:tc>
          <w:tcPr>
            <w:tcW w:w="1538" w:type="dxa"/>
            <w:tcBorders>
              <w:top w:val="nil"/>
              <w:left w:val="nil"/>
              <w:bottom w:val="nil"/>
              <w:right w:val="nil"/>
            </w:tcBorders>
          </w:tcPr>
          <w:p w14:paraId="1D0338EA" w14:textId="77777777" w:rsidR="00377443" w:rsidRDefault="00377443" w:rsidP="000972AF">
            <w:pPr>
              <w:widowControl w:val="0"/>
              <w:autoSpaceDE w:val="0"/>
              <w:autoSpaceDN w:val="0"/>
              <w:adjustRightInd w:val="0"/>
              <w:spacing w:after="0" w:line="240" w:lineRule="auto"/>
              <w:jc w:val="center"/>
              <w:rPr>
                <w:szCs w:val="24"/>
              </w:rPr>
            </w:pPr>
          </w:p>
        </w:tc>
      </w:tr>
      <w:tr w:rsidR="00377443" w14:paraId="7B0D5BE3" w14:textId="77777777" w:rsidTr="000972AF">
        <w:trPr>
          <w:jc w:val="center"/>
        </w:trPr>
        <w:tc>
          <w:tcPr>
            <w:tcW w:w="3101" w:type="dxa"/>
            <w:tcBorders>
              <w:top w:val="nil"/>
              <w:left w:val="nil"/>
              <w:bottom w:val="nil"/>
              <w:right w:val="nil"/>
            </w:tcBorders>
          </w:tcPr>
          <w:p w14:paraId="04E056A9" w14:textId="77777777" w:rsidR="00377443" w:rsidRDefault="00377443" w:rsidP="000972AF">
            <w:pPr>
              <w:widowControl w:val="0"/>
              <w:autoSpaceDE w:val="0"/>
              <w:autoSpaceDN w:val="0"/>
              <w:adjustRightInd w:val="0"/>
              <w:spacing w:after="0" w:line="240" w:lineRule="auto"/>
              <w:rPr>
                <w:szCs w:val="24"/>
              </w:rPr>
            </w:pPr>
            <w:r>
              <w:rPr>
                <w:szCs w:val="24"/>
              </w:rPr>
              <w:t>Observations</w:t>
            </w:r>
          </w:p>
        </w:tc>
        <w:tc>
          <w:tcPr>
            <w:tcW w:w="1418" w:type="dxa"/>
            <w:tcBorders>
              <w:top w:val="nil"/>
              <w:left w:val="nil"/>
              <w:bottom w:val="nil"/>
              <w:right w:val="nil"/>
            </w:tcBorders>
          </w:tcPr>
          <w:p w14:paraId="2D693882" w14:textId="77777777" w:rsidR="00377443" w:rsidRDefault="00377443" w:rsidP="000972AF">
            <w:pPr>
              <w:widowControl w:val="0"/>
              <w:autoSpaceDE w:val="0"/>
              <w:autoSpaceDN w:val="0"/>
              <w:adjustRightInd w:val="0"/>
              <w:spacing w:after="0" w:line="240" w:lineRule="auto"/>
              <w:jc w:val="center"/>
              <w:rPr>
                <w:szCs w:val="24"/>
              </w:rPr>
            </w:pPr>
            <w:r>
              <w:rPr>
                <w:szCs w:val="24"/>
              </w:rPr>
              <w:t>6,351</w:t>
            </w:r>
          </w:p>
        </w:tc>
        <w:tc>
          <w:tcPr>
            <w:tcW w:w="1656" w:type="dxa"/>
            <w:tcBorders>
              <w:top w:val="nil"/>
              <w:left w:val="nil"/>
              <w:bottom w:val="nil"/>
              <w:right w:val="nil"/>
            </w:tcBorders>
          </w:tcPr>
          <w:p w14:paraId="38A9A606" w14:textId="77777777" w:rsidR="00377443" w:rsidRDefault="00377443" w:rsidP="000972AF">
            <w:pPr>
              <w:widowControl w:val="0"/>
              <w:autoSpaceDE w:val="0"/>
              <w:autoSpaceDN w:val="0"/>
              <w:adjustRightInd w:val="0"/>
              <w:spacing w:after="0" w:line="240" w:lineRule="auto"/>
              <w:jc w:val="center"/>
              <w:rPr>
                <w:szCs w:val="24"/>
              </w:rPr>
            </w:pPr>
            <w:r>
              <w:rPr>
                <w:szCs w:val="24"/>
              </w:rPr>
              <w:t>6,329</w:t>
            </w:r>
          </w:p>
        </w:tc>
        <w:tc>
          <w:tcPr>
            <w:tcW w:w="1320" w:type="dxa"/>
            <w:tcBorders>
              <w:top w:val="nil"/>
              <w:left w:val="nil"/>
              <w:bottom w:val="nil"/>
              <w:right w:val="nil"/>
            </w:tcBorders>
          </w:tcPr>
          <w:p w14:paraId="5F530301" w14:textId="77777777" w:rsidR="00377443" w:rsidRDefault="00377443" w:rsidP="000972AF">
            <w:pPr>
              <w:widowControl w:val="0"/>
              <w:autoSpaceDE w:val="0"/>
              <w:autoSpaceDN w:val="0"/>
              <w:adjustRightInd w:val="0"/>
              <w:spacing w:after="0" w:line="240" w:lineRule="auto"/>
              <w:jc w:val="center"/>
              <w:rPr>
                <w:szCs w:val="24"/>
              </w:rPr>
            </w:pPr>
            <w:r>
              <w:rPr>
                <w:szCs w:val="24"/>
              </w:rPr>
              <w:t>6,366</w:t>
            </w:r>
          </w:p>
        </w:tc>
        <w:tc>
          <w:tcPr>
            <w:tcW w:w="1755" w:type="dxa"/>
            <w:tcBorders>
              <w:top w:val="nil"/>
              <w:left w:val="nil"/>
              <w:bottom w:val="nil"/>
              <w:right w:val="nil"/>
            </w:tcBorders>
          </w:tcPr>
          <w:p w14:paraId="0EA71A81" w14:textId="77777777" w:rsidR="00377443" w:rsidRDefault="00377443" w:rsidP="000972AF">
            <w:pPr>
              <w:widowControl w:val="0"/>
              <w:autoSpaceDE w:val="0"/>
              <w:autoSpaceDN w:val="0"/>
              <w:adjustRightInd w:val="0"/>
              <w:spacing w:after="0" w:line="240" w:lineRule="auto"/>
              <w:jc w:val="center"/>
              <w:rPr>
                <w:szCs w:val="24"/>
              </w:rPr>
            </w:pPr>
            <w:r>
              <w:rPr>
                <w:szCs w:val="24"/>
              </w:rPr>
              <w:t>5,640</w:t>
            </w:r>
          </w:p>
        </w:tc>
        <w:tc>
          <w:tcPr>
            <w:tcW w:w="1538" w:type="dxa"/>
            <w:tcBorders>
              <w:top w:val="nil"/>
              <w:left w:val="nil"/>
              <w:bottom w:val="nil"/>
              <w:right w:val="nil"/>
            </w:tcBorders>
          </w:tcPr>
          <w:p w14:paraId="3BB071DF" w14:textId="77777777" w:rsidR="00377443" w:rsidRDefault="00377443" w:rsidP="000972AF">
            <w:pPr>
              <w:widowControl w:val="0"/>
              <w:autoSpaceDE w:val="0"/>
              <w:autoSpaceDN w:val="0"/>
              <w:adjustRightInd w:val="0"/>
              <w:spacing w:after="0" w:line="240" w:lineRule="auto"/>
              <w:jc w:val="center"/>
              <w:rPr>
                <w:szCs w:val="24"/>
              </w:rPr>
            </w:pPr>
            <w:r>
              <w:rPr>
                <w:szCs w:val="24"/>
              </w:rPr>
              <w:t>6,050</w:t>
            </w:r>
          </w:p>
        </w:tc>
      </w:tr>
      <w:tr w:rsidR="00377443" w14:paraId="2F7EC4FD" w14:textId="77777777" w:rsidTr="000972AF">
        <w:tblPrEx>
          <w:tblBorders>
            <w:bottom w:val="single" w:sz="6" w:space="0" w:color="auto"/>
          </w:tblBorders>
        </w:tblPrEx>
        <w:trPr>
          <w:jc w:val="center"/>
        </w:trPr>
        <w:tc>
          <w:tcPr>
            <w:tcW w:w="3101" w:type="dxa"/>
            <w:tcBorders>
              <w:top w:val="nil"/>
              <w:left w:val="nil"/>
              <w:bottom w:val="single" w:sz="6" w:space="0" w:color="auto"/>
              <w:right w:val="nil"/>
            </w:tcBorders>
          </w:tcPr>
          <w:p w14:paraId="4A8B188A" w14:textId="77777777" w:rsidR="00377443" w:rsidRDefault="00377443" w:rsidP="000972AF">
            <w:pPr>
              <w:widowControl w:val="0"/>
              <w:autoSpaceDE w:val="0"/>
              <w:autoSpaceDN w:val="0"/>
              <w:adjustRightInd w:val="0"/>
              <w:spacing w:after="0" w:line="240" w:lineRule="auto"/>
              <w:rPr>
                <w:szCs w:val="24"/>
              </w:rPr>
            </w:pPr>
            <w:r>
              <w:rPr>
                <w:szCs w:val="24"/>
              </w:rPr>
              <w:t>Pseudo R</w:t>
            </w:r>
            <w:r w:rsidRPr="00BA64A9">
              <w:rPr>
                <w:szCs w:val="24"/>
                <w:vertAlign w:val="superscript"/>
              </w:rPr>
              <w:t>2</w:t>
            </w:r>
          </w:p>
        </w:tc>
        <w:tc>
          <w:tcPr>
            <w:tcW w:w="1418" w:type="dxa"/>
            <w:tcBorders>
              <w:top w:val="nil"/>
              <w:left w:val="nil"/>
              <w:bottom w:val="single" w:sz="6" w:space="0" w:color="auto"/>
              <w:right w:val="nil"/>
            </w:tcBorders>
          </w:tcPr>
          <w:p w14:paraId="55393063" w14:textId="77777777" w:rsidR="00377443" w:rsidRDefault="00377443" w:rsidP="000972AF">
            <w:pPr>
              <w:widowControl w:val="0"/>
              <w:autoSpaceDE w:val="0"/>
              <w:autoSpaceDN w:val="0"/>
              <w:adjustRightInd w:val="0"/>
              <w:spacing w:after="0" w:line="240" w:lineRule="auto"/>
              <w:jc w:val="center"/>
              <w:rPr>
                <w:szCs w:val="24"/>
              </w:rPr>
            </w:pPr>
            <w:r>
              <w:rPr>
                <w:szCs w:val="24"/>
              </w:rPr>
              <w:t>0.264</w:t>
            </w:r>
          </w:p>
        </w:tc>
        <w:tc>
          <w:tcPr>
            <w:tcW w:w="1656" w:type="dxa"/>
            <w:tcBorders>
              <w:top w:val="nil"/>
              <w:left w:val="nil"/>
              <w:bottom w:val="single" w:sz="6" w:space="0" w:color="auto"/>
              <w:right w:val="nil"/>
            </w:tcBorders>
          </w:tcPr>
          <w:p w14:paraId="0E022008" w14:textId="77777777" w:rsidR="00377443" w:rsidRDefault="00377443" w:rsidP="000972AF">
            <w:pPr>
              <w:widowControl w:val="0"/>
              <w:autoSpaceDE w:val="0"/>
              <w:autoSpaceDN w:val="0"/>
              <w:adjustRightInd w:val="0"/>
              <w:spacing w:after="0" w:line="240" w:lineRule="auto"/>
              <w:jc w:val="center"/>
              <w:rPr>
                <w:szCs w:val="24"/>
              </w:rPr>
            </w:pPr>
            <w:r>
              <w:rPr>
                <w:szCs w:val="24"/>
              </w:rPr>
              <w:t>0.245</w:t>
            </w:r>
          </w:p>
        </w:tc>
        <w:tc>
          <w:tcPr>
            <w:tcW w:w="1320" w:type="dxa"/>
            <w:tcBorders>
              <w:top w:val="nil"/>
              <w:left w:val="nil"/>
              <w:bottom w:val="single" w:sz="6" w:space="0" w:color="auto"/>
              <w:right w:val="nil"/>
            </w:tcBorders>
          </w:tcPr>
          <w:p w14:paraId="02939320" w14:textId="77777777" w:rsidR="00377443" w:rsidRDefault="00377443" w:rsidP="000972AF">
            <w:pPr>
              <w:widowControl w:val="0"/>
              <w:autoSpaceDE w:val="0"/>
              <w:autoSpaceDN w:val="0"/>
              <w:adjustRightInd w:val="0"/>
              <w:spacing w:after="0" w:line="240" w:lineRule="auto"/>
              <w:jc w:val="center"/>
              <w:rPr>
                <w:szCs w:val="24"/>
              </w:rPr>
            </w:pPr>
            <w:r>
              <w:rPr>
                <w:szCs w:val="24"/>
              </w:rPr>
              <w:t>0.129</w:t>
            </w:r>
          </w:p>
        </w:tc>
        <w:tc>
          <w:tcPr>
            <w:tcW w:w="1755" w:type="dxa"/>
            <w:tcBorders>
              <w:top w:val="nil"/>
              <w:left w:val="nil"/>
              <w:bottom w:val="single" w:sz="6" w:space="0" w:color="auto"/>
              <w:right w:val="nil"/>
            </w:tcBorders>
          </w:tcPr>
          <w:p w14:paraId="727FD949" w14:textId="77777777" w:rsidR="00377443" w:rsidRDefault="00377443" w:rsidP="000972AF">
            <w:pPr>
              <w:widowControl w:val="0"/>
              <w:autoSpaceDE w:val="0"/>
              <w:autoSpaceDN w:val="0"/>
              <w:adjustRightInd w:val="0"/>
              <w:spacing w:after="0" w:line="240" w:lineRule="auto"/>
              <w:jc w:val="center"/>
              <w:rPr>
                <w:szCs w:val="24"/>
              </w:rPr>
            </w:pPr>
            <w:r>
              <w:rPr>
                <w:szCs w:val="24"/>
              </w:rPr>
              <w:t>0.0793</w:t>
            </w:r>
          </w:p>
        </w:tc>
        <w:tc>
          <w:tcPr>
            <w:tcW w:w="1538" w:type="dxa"/>
            <w:tcBorders>
              <w:top w:val="nil"/>
              <w:left w:val="nil"/>
              <w:bottom w:val="single" w:sz="6" w:space="0" w:color="auto"/>
              <w:right w:val="nil"/>
            </w:tcBorders>
          </w:tcPr>
          <w:p w14:paraId="2DBFBB3C" w14:textId="77777777" w:rsidR="00377443" w:rsidRDefault="00377443" w:rsidP="000972AF">
            <w:pPr>
              <w:widowControl w:val="0"/>
              <w:autoSpaceDE w:val="0"/>
              <w:autoSpaceDN w:val="0"/>
              <w:adjustRightInd w:val="0"/>
              <w:spacing w:after="0" w:line="240" w:lineRule="auto"/>
              <w:jc w:val="center"/>
              <w:rPr>
                <w:szCs w:val="24"/>
              </w:rPr>
            </w:pPr>
            <w:r>
              <w:rPr>
                <w:szCs w:val="24"/>
              </w:rPr>
              <w:t>0.116</w:t>
            </w:r>
          </w:p>
        </w:tc>
      </w:tr>
    </w:tbl>
    <w:p w14:paraId="2D57EFBC" w14:textId="77777777" w:rsidR="00377443" w:rsidRDefault="00377443" w:rsidP="00377443">
      <w:pPr>
        <w:widowControl w:val="0"/>
        <w:autoSpaceDE w:val="0"/>
        <w:autoSpaceDN w:val="0"/>
        <w:adjustRightInd w:val="0"/>
        <w:spacing w:after="0" w:line="240" w:lineRule="auto"/>
        <w:jc w:val="center"/>
        <w:rPr>
          <w:szCs w:val="24"/>
        </w:rPr>
      </w:pPr>
      <w:r>
        <w:rPr>
          <w:szCs w:val="24"/>
        </w:rPr>
        <w:t xml:space="preserve">Odds ratios. </w:t>
      </w:r>
      <w:r w:rsidRPr="00406E9B">
        <w:rPr>
          <w:szCs w:val="24"/>
        </w:rPr>
        <w:t xml:space="preserve">Robust </w:t>
      </w:r>
      <w:r>
        <w:rPr>
          <w:szCs w:val="24"/>
        </w:rPr>
        <w:t>standard errors (clustered over firms)</w:t>
      </w:r>
      <w:r w:rsidRPr="00406E9B">
        <w:rPr>
          <w:szCs w:val="24"/>
        </w:rPr>
        <w:t xml:space="preserve"> in parentheses</w:t>
      </w:r>
      <w:r>
        <w:rPr>
          <w:szCs w:val="24"/>
        </w:rPr>
        <w:t>.</w:t>
      </w:r>
      <w:r w:rsidRPr="00456515">
        <w:rPr>
          <w:szCs w:val="24"/>
        </w:rPr>
        <w:t xml:space="preserve"> </w:t>
      </w:r>
    </w:p>
    <w:p w14:paraId="2194C043" w14:textId="77777777" w:rsidR="00377443" w:rsidRPr="00456515" w:rsidRDefault="00377443" w:rsidP="00377443">
      <w:pPr>
        <w:widowControl w:val="0"/>
        <w:autoSpaceDE w:val="0"/>
        <w:autoSpaceDN w:val="0"/>
        <w:adjustRightInd w:val="0"/>
        <w:spacing w:after="0" w:line="240" w:lineRule="auto"/>
        <w:jc w:val="center"/>
        <w:rPr>
          <w:szCs w:val="24"/>
        </w:rPr>
      </w:pPr>
      <w:r w:rsidRPr="00456515">
        <w:rPr>
          <w:szCs w:val="24"/>
        </w:rPr>
        <w:t>*** p&lt;.001, ** p&lt;.01, * p&lt;.05, + p&lt;.10</w:t>
      </w:r>
    </w:p>
    <w:p w14:paraId="62A09052" w14:textId="77777777" w:rsidR="00377443" w:rsidRDefault="00377443" w:rsidP="00377443">
      <w:pPr>
        <w:widowControl w:val="0"/>
        <w:autoSpaceDE w:val="0"/>
        <w:autoSpaceDN w:val="0"/>
        <w:adjustRightInd w:val="0"/>
        <w:spacing w:after="0" w:line="240" w:lineRule="auto"/>
        <w:jc w:val="center"/>
        <w:rPr>
          <w:szCs w:val="24"/>
        </w:rPr>
      </w:pPr>
    </w:p>
    <w:p w14:paraId="44CD8CA7" w14:textId="77777777" w:rsidR="00377443" w:rsidRDefault="00377443" w:rsidP="00377443">
      <w:pPr>
        <w:widowControl w:val="0"/>
        <w:autoSpaceDE w:val="0"/>
        <w:autoSpaceDN w:val="0"/>
        <w:adjustRightInd w:val="0"/>
        <w:spacing w:after="0" w:line="240" w:lineRule="auto"/>
        <w:jc w:val="center"/>
        <w:rPr>
          <w:szCs w:val="24"/>
        </w:rPr>
      </w:pPr>
    </w:p>
    <w:p w14:paraId="1C99CDF8" w14:textId="77777777" w:rsidR="00377443" w:rsidRPr="00607E7C" w:rsidRDefault="00377443" w:rsidP="00377443">
      <w:pPr>
        <w:rPr>
          <w:rFonts w:ascii="Trebuchet MS" w:hAnsi="Trebuchet MS"/>
          <w:sz w:val="20"/>
        </w:rPr>
      </w:pPr>
    </w:p>
    <w:p w14:paraId="76E0C1BF" w14:textId="77777777" w:rsidR="000F16C4" w:rsidRPr="002156BB" w:rsidRDefault="000F16C4" w:rsidP="000F16C4">
      <w:pPr>
        <w:pStyle w:val="Heading2"/>
        <w:spacing w:before="0" w:line="240" w:lineRule="auto"/>
        <w:ind w:left="284" w:hanging="284"/>
        <w:rPr>
          <w:rFonts w:ascii="Times New Roman" w:hAnsi="Times New Roman"/>
          <w:b w:val="0"/>
          <w:sz w:val="24"/>
          <w:szCs w:val="24"/>
          <w:lang w:val="en-US"/>
        </w:rPr>
      </w:pPr>
    </w:p>
    <w:sectPr w:rsidR="000F16C4" w:rsidRPr="002156BB" w:rsidSect="000F16C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38DF1" w14:textId="77777777" w:rsidR="008D6D6C" w:rsidRDefault="008D6D6C" w:rsidP="001E0FDA">
      <w:pPr>
        <w:spacing w:after="0" w:line="240" w:lineRule="auto"/>
      </w:pPr>
      <w:r>
        <w:separator/>
      </w:r>
    </w:p>
  </w:endnote>
  <w:endnote w:type="continuationSeparator" w:id="0">
    <w:p w14:paraId="39C635E9" w14:textId="77777777" w:rsidR="008D6D6C" w:rsidRDefault="008D6D6C" w:rsidP="001E0FDA">
      <w:pPr>
        <w:spacing w:after="0" w:line="240" w:lineRule="auto"/>
      </w:pPr>
      <w:r>
        <w:continuationSeparator/>
      </w:r>
    </w:p>
  </w:endnote>
  <w:endnote w:type="continuationNotice" w:id="1">
    <w:p w14:paraId="50A28896" w14:textId="77777777" w:rsidR="008D6D6C" w:rsidRDefault="008D6D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4D"/>
    <w:family w:val="roman"/>
    <w:notTrueType/>
    <w:pitch w:val="variable"/>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TenLTStd-Roman">
    <w:altName w:val="MS Gothic"/>
    <w:panose1 w:val="00000000000000000000"/>
    <w:charset w:val="80"/>
    <w:family w:val="roman"/>
    <w:notTrueType/>
    <w:pitch w:val="default"/>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51"/>
      <w:docPartObj>
        <w:docPartGallery w:val="Page Numbers (Bottom of Page)"/>
        <w:docPartUnique/>
      </w:docPartObj>
    </w:sdtPr>
    <w:sdtEndPr>
      <w:rPr>
        <w:noProof/>
      </w:rPr>
    </w:sdtEndPr>
    <w:sdtContent>
      <w:p w14:paraId="60A015A0" w14:textId="0EC6BEB5" w:rsidR="005E6822" w:rsidRDefault="005E6822">
        <w:pPr>
          <w:pStyle w:val="Footer"/>
          <w:jc w:val="center"/>
        </w:pPr>
        <w:r>
          <w:fldChar w:fldCharType="begin"/>
        </w:r>
        <w:r>
          <w:instrText xml:space="preserve"> PAGE   \* MERGEFORMAT </w:instrText>
        </w:r>
        <w:r>
          <w:fldChar w:fldCharType="separate"/>
        </w:r>
        <w:r w:rsidR="00377443">
          <w:rPr>
            <w:noProof/>
          </w:rPr>
          <w:t>55</w:t>
        </w:r>
        <w:r>
          <w:rPr>
            <w:noProof/>
          </w:rPr>
          <w:fldChar w:fldCharType="end"/>
        </w:r>
      </w:p>
    </w:sdtContent>
  </w:sdt>
  <w:p w14:paraId="6C2DB84E" w14:textId="77777777" w:rsidR="005E6822" w:rsidRDefault="005E6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D2528" w14:textId="77777777" w:rsidR="008D6D6C" w:rsidRDefault="008D6D6C" w:rsidP="001E0FDA">
      <w:pPr>
        <w:spacing w:after="0" w:line="240" w:lineRule="auto"/>
      </w:pPr>
      <w:r>
        <w:separator/>
      </w:r>
    </w:p>
  </w:footnote>
  <w:footnote w:type="continuationSeparator" w:id="0">
    <w:p w14:paraId="7D428ACA" w14:textId="77777777" w:rsidR="008D6D6C" w:rsidRDefault="008D6D6C" w:rsidP="001E0FDA">
      <w:pPr>
        <w:spacing w:after="0" w:line="240" w:lineRule="auto"/>
      </w:pPr>
      <w:r>
        <w:continuationSeparator/>
      </w:r>
    </w:p>
  </w:footnote>
  <w:footnote w:type="continuationNotice" w:id="1">
    <w:p w14:paraId="56422B57" w14:textId="77777777" w:rsidR="008D6D6C" w:rsidRDefault="008D6D6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087A9" w14:textId="77777777" w:rsidR="005E6822" w:rsidRDefault="005E68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A78B9"/>
    <w:multiLevelType w:val="hybridMultilevel"/>
    <w:tmpl w:val="0E5E85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FE0671A"/>
    <w:multiLevelType w:val="hybridMultilevel"/>
    <w:tmpl w:val="43CA0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ne Dahl Fitjar">
    <w15:presenceInfo w15:providerId="AD" w15:userId="S-1-5-21-1178080459-3341931671-1611906298-39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characterSpacingControl w:val="doNotCompress"/>
  <w:footnotePr>
    <w:footnote w:id="-1"/>
    <w:footnote w:id="0"/>
    <w:footnote w:id="1"/>
  </w:footnotePr>
  <w:endnotePr>
    <w:pos w:val="sectEnd"/>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A937CB8-9433-490B-B11F-2A6C9239488A}"/>
    <w:docVar w:name="dgnword-eventsink" w:val="177932496"/>
  </w:docVars>
  <w:rsids>
    <w:rsidRoot w:val="006C44C0"/>
    <w:rsid w:val="0000060C"/>
    <w:rsid w:val="0000125C"/>
    <w:rsid w:val="0000244E"/>
    <w:rsid w:val="00002869"/>
    <w:rsid w:val="00004791"/>
    <w:rsid w:val="000050B8"/>
    <w:rsid w:val="00005372"/>
    <w:rsid w:val="000100EB"/>
    <w:rsid w:val="00012DF3"/>
    <w:rsid w:val="000130FA"/>
    <w:rsid w:val="0001646F"/>
    <w:rsid w:val="000225AF"/>
    <w:rsid w:val="00025142"/>
    <w:rsid w:val="0002696C"/>
    <w:rsid w:val="00026A16"/>
    <w:rsid w:val="00026F90"/>
    <w:rsid w:val="00030915"/>
    <w:rsid w:val="0003141E"/>
    <w:rsid w:val="000337A3"/>
    <w:rsid w:val="00033F4A"/>
    <w:rsid w:val="00036A9F"/>
    <w:rsid w:val="00037AE1"/>
    <w:rsid w:val="00040E08"/>
    <w:rsid w:val="00043E0B"/>
    <w:rsid w:val="0004600C"/>
    <w:rsid w:val="00050414"/>
    <w:rsid w:val="00051D2D"/>
    <w:rsid w:val="000538CB"/>
    <w:rsid w:val="00054A38"/>
    <w:rsid w:val="000556F3"/>
    <w:rsid w:val="00056B44"/>
    <w:rsid w:val="000577FA"/>
    <w:rsid w:val="00063379"/>
    <w:rsid w:val="00063596"/>
    <w:rsid w:val="000640BB"/>
    <w:rsid w:val="00065123"/>
    <w:rsid w:val="0006577E"/>
    <w:rsid w:val="00067A02"/>
    <w:rsid w:val="00072C80"/>
    <w:rsid w:val="00072E41"/>
    <w:rsid w:val="000732B4"/>
    <w:rsid w:val="000737F4"/>
    <w:rsid w:val="000829B3"/>
    <w:rsid w:val="00083A92"/>
    <w:rsid w:val="00085EDF"/>
    <w:rsid w:val="00086346"/>
    <w:rsid w:val="00086F90"/>
    <w:rsid w:val="0009152B"/>
    <w:rsid w:val="000956CC"/>
    <w:rsid w:val="00096846"/>
    <w:rsid w:val="000968CE"/>
    <w:rsid w:val="00096EBD"/>
    <w:rsid w:val="000A0F2E"/>
    <w:rsid w:val="000A2187"/>
    <w:rsid w:val="000A40A9"/>
    <w:rsid w:val="000A4F47"/>
    <w:rsid w:val="000B11BF"/>
    <w:rsid w:val="000B5E8D"/>
    <w:rsid w:val="000B6367"/>
    <w:rsid w:val="000B69FA"/>
    <w:rsid w:val="000B7CF8"/>
    <w:rsid w:val="000C1599"/>
    <w:rsid w:val="000C186E"/>
    <w:rsid w:val="000C215A"/>
    <w:rsid w:val="000C2BCA"/>
    <w:rsid w:val="000C2CE7"/>
    <w:rsid w:val="000C667E"/>
    <w:rsid w:val="000C6EB1"/>
    <w:rsid w:val="000D22C6"/>
    <w:rsid w:val="000D4823"/>
    <w:rsid w:val="000E074B"/>
    <w:rsid w:val="000E7597"/>
    <w:rsid w:val="000E767D"/>
    <w:rsid w:val="000F16C4"/>
    <w:rsid w:val="000F26A7"/>
    <w:rsid w:val="000F29AB"/>
    <w:rsid w:val="000F2A5B"/>
    <w:rsid w:val="001008E2"/>
    <w:rsid w:val="00101920"/>
    <w:rsid w:val="00104447"/>
    <w:rsid w:val="00105A31"/>
    <w:rsid w:val="001065C2"/>
    <w:rsid w:val="001111F1"/>
    <w:rsid w:val="00113910"/>
    <w:rsid w:val="00114614"/>
    <w:rsid w:val="00114CDD"/>
    <w:rsid w:val="001153D2"/>
    <w:rsid w:val="0011738E"/>
    <w:rsid w:val="00120C37"/>
    <w:rsid w:val="001237E7"/>
    <w:rsid w:val="0012767B"/>
    <w:rsid w:val="00130171"/>
    <w:rsid w:val="00131417"/>
    <w:rsid w:val="00132141"/>
    <w:rsid w:val="00136DBA"/>
    <w:rsid w:val="0013790E"/>
    <w:rsid w:val="00140AA1"/>
    <w:rsid w:val="001411DA"/>
    <w:rsid w:val="001424A7"/>
    <w:rsid w:val="00143563"/>
    <w:rsid w:val="00143B26"/>
    <w:rsid w:val="001455FA"/>
    <w:rsid w:val="00146CF0"/>
    <w:rsid w:val="001476A2"/>
    <w:rsid w:val="00150536"/>
    <w:rsid w:val="00153CDC"/>
    <w:rsid w:val="001551AF"/>
    <w:rsid w:val="00155706"/>
    <w:rsid w:val="00157B69"/>
    <w:rsid w:val="0016172A"/>
    <w:rsid w:val="00165C72"/>
    <w:rsid w:val="00166AE5"/>
    <w:rsid w:val="0016717D"/>
    <w:rsid w:val="00181074"/>
    <w:rsid w:val="001811CC"/>
    <w:rsid w:val="00181C2B"/>
    <w:rsid w:val="00182891"/>
    <w:rsid w:val="0018399B"/>
    <w:rsid w:val="001871B7"/>
    <w:rsid w:val="001879A8"/>
    <w:rsid w:val="00190E40"/>
    <w:rsid w:val="00194E6D"/>
    <w:rsid w:val="00194FDF"/>
    <w:rsid w:val="001952E3"/>
    <w:rsid w:val="00197497"/>
    <w:rsid w:val="001A2166"/>
    <w:rsid w:val="001A330B"/>
    <w:rsid w:val="001A34A3"/>
    <w:rsid w:val="001A39F9"/>
    <w:rsid w:val="001A4987"/>
    <w:rsid w:val="001A4BA7"/>
    <w:rsid w:val="001A6C44"/>
    <w:rsid w:val="001A797B"/>
    <w:rsid w:val="001B03AB"/>
    <w:rsid w:val="001B0D03"/>
    <w:rsid w:val="001B28F2"/>
    <w:rsid w:val="001B70E4"/>
    <w:rsid w:val="001C0FCF"/>
    <w:rsid w:val="001C109F"/>
    <w:rsid w:val="001C1B03"/>
    <w:rsid w:val="001C1E90"/>
    <w:rsid w:val="001C33C1"/>
    <w:rsid w:val="001C3A8E"/>
    <w:rsid w:val="001C7D18"/>
    <w:rsid w:val="001D08BE"/>
    <w:rsid w:val="001D0DFD"/>
    <w:rsid w:val="001D20CC"/>
    <w:rsid w:val="001D2316"/>
    <w:rsid w:val="001D285F"/>
    <w:rsid w:val="001D2F8E"/>
    <w:rsid w:val="001D3666"/>
    <w:rsid w:val="001D4933"/>
    <w:rsid w:val="001D4C73"/>
    <w:rsid w:val="001D647C"/>
    <w:rsid w:val="001E0D9E"/>
    <w:rsid w:val="001E0FDA"/>
    <w:rsid w:val="001E2064"/>
    <w:rsid w:val="001E2420"/>
    <w:rsid w:val="001E3F86"/>
    <w:rsid w:val="001E4CB8"/>
    <w:rsid w:val="001E5F40"/>
    <w:rsid w:val="001E64E6"/>
    <w:rsid w:val="001E703E"/>
    <w:rsid w:val="001E7580"/>
    <w:rsid w:val="001F3757"/>
    <w:rsid w:val="001F3DD1"/>
    <w:rsid w:val="001F526B"/>
    <w:rsid w:val="001F5E02"/>
    <w:rsid w:val="001F7A6A"/>
    <w:rsid w:val="001F7B35"/>
    <w:rsid w:val="00200D8E"/>
    <w:rsid w:val="00201663"/>
    <w:rsid w:val="00201F5B"/>
    <w:rsid w:val="002021EC"/>
    <w:rsid w:val="00204CED"/>
    <w:rsid w:val="00206AB5"/>
    <w:rsid w:val="0020765A"/>
    <w:rsid w:val="00212655"/>
    <w:rsid w:val="00213D33"/>
    <w:rsid w:val="0021634F"/>
    <w:rsid w:val="002169C3"/>
    <w:rsid w:val="00217004"/>
    <w:rsid w:val="00220444"/>
    <w:rsid w:val="0022326D"/>
    <w:rsid w:val="00226B32"/>
    <w:rsid w:val="00227AB0"/>
    <w:rsid w:val="00231C12"/>
    <w:rsid w:val="00232A62"/>
    <w:rsid w:val="0023401A"/>
    <w:rsid w:val="00234334"/>
    <w:rsid w:val="00236D8E"/>
    <w:rsid w:val="002372F7"/>
    <w:rsid w:val="00240059"/>
    <w:rsid w:val="002408DF"/>
    <w:rsid w:val="00241569"/>
    <w:rsid w:val="0024605C"/>
    <w:rsid w:val="002516B2"/>
    <w:rsid w:val="00251ACA"/>
    <w:rsid w:val="00252E67"/>
    <w:rsid w:val="00252FD8"/>
    <w:rsid w:val="00253F84"/>
    <w:rsid w:val="00255642"/>
    <w:rsid w:val="00256BA8"/>
    <w:rsid w:val="00257440"/>
    <w:rsid w:val="002574DC"/>
    <w:rsid w:val="00257AAA"/>
    <w:rsid w:val="00261E3C"/>
    <w:rsid w:val="0026407F"/>
    <w:rsid w:val="002707B9"/>
    <w:rsid w:val="00271818"/>
    <w:rsid w:val="0027242B"/>
    <w:rsid w:val="002729ED"/>
    <w:rsid w:val="002773F4"/>
    <w:rsid w:val="002778D8"/>
    <w:rsid w:val="00283E4C"/>
    <w:rsid w:val="0028520D"/>
    <w:rsid w:val="00286B4A"/>
    <w:rsid w:val="002940F5"/>
    <w:rsid w:val="00294630"/>
    <w:rsid w:val="00295795"/>
    <w:rsid w:val="002971E8"/>
    <w:rsid w:val="002A0AD3"/>
    <w:rsid w:val="002A35F3"/>
    <w:rsid w:val="002A36B1"/>
    <w:rsid w:val="002A48F6"/>
    <w:rsid w:val="002B168C"/>
    <w:rsid w:val="002B2013"/>
    <w:rsid w:val="002B230E"/>
    <w:rsid w:val="002B2D90"/>
    <w:rsid w:val="002B44BA"/>
    <w:rsid w:val="002B572A"/>
    <w:rsid w:val="002C57EE"/>
    <w:rsid w:val="002C5E7E"/>
    <w:rsid w:val="002C6989"/>
    <w:rsid w:val="002D3195"/>
    <w:rsid w:val="002D3725"/>
    <w:rsid w:val="002D4013"/>
    <w:rsid w:val="002D51F0"/>
    <w:rsid w:val="002D6AD0"/>
    <w:rsid w:val="002D6DB2"/>
    <w:rsid w:val="002D75EF"/>
    <w:rsid w:val="002E1398"/>
    <w:rsid w:val="002E5E01"/>
    <w:rsid w:val="002E76E5"/>
    <w:rsid w:val="002E7B9C"/>
    <w:rsid w:val="002F1DF0"/>
    <w:rsid w:val="002F3661"/>
    <w:rsid w:val="002F4C61"/>
    <w:rsid w:val="002F6AAA"/>
    <w:rsid w:val="002F6DA2"/>
    <w:rsid w:val="00301A91"/>
    <w:rsid w:val="003039B7"/>
    <w:rsid w:val="00304BC0"/>
    <w:rsid w:val="003065BE"/>
    <w:rsid w:val="0030698C"/>
    <w:rsid w:val="00311D1A"/>
    <w:rsid w:val="00311E57"/>
    <w:rsid w:val="00312BE6"/>
    <w:rsid w:val="003175EB"/>
    <w:rsid w:val="00322992"/>
    <w:rsid w:val="00324048"/>
    <w:rsid w:val="0032558C"/>
    <w:rsid w:val="00330427"/>
    <w:rsid w:val="00334BE8"/>
    <w:rsid w:val="0033554F"/>
    <w:rsid w:val="00335C2D"/>
    <w:rsid w:val="003401FF"/>
    <w:rsid w:val="00340CAA"/>
    <w:rsid w:val="0034134A"/>
    <w:rsid w:val="00342DF9"/>
    <w:rsid w:val="00345D66"/>
    <w:rsid w:val="0034633B"/>
    <w:rsid w:val="00346BF1"/>
    <w:rsid w:val="00347400"/>
    <w:rsid w:val="00350EC5"/>
    <w:rsid w:val="003511AD"/>
    <w:rsid w:val="003519FB"/>
    <w:rsid w:val="00351E34"/>
    <w:rsid w:val="00352394"/>
    <w:rsid w:val="003526D3"/>
    <w:rsid w:val="00357DF3"/>
    <w:rsid w:val="00357F4F"/>
    <w:rsid w:val="003605B0"/>
    <w:rsid w:val="00360CA7"/>
    <w:rsid w:val="00361966"/>
    <w:rsid w:val="00361CAC"/>
    <w:rsid w:val="00362452"/>
    <w:rsid w:val="00362ABA"/>
    <w:rsid w:val="00364DBE"/>
    <w:rsid w:val="003666D8"/>
    <w:rsid w:val="003679D9"/>
    <w:rsid w:val="00367EDC"/>
    <w:rsid w:val="00370392"/>
    <w:rsid w:val="003717C2"/>
    <w:rsid w:val="00371A4D"/>
    <w:rsid w:val="0037351A"/>
    <w:rsid w:val="003754AC"/>
    <w:rsid w:val="00375E6B"/>
    <w:rsid w:val="00376FDE"/>
    <w:rsid w:val="00377443"/>
    <w:rsid w:val="00377F80"/>
    <w:rsid w:val="0038227A"/>
    <w:rsid w:val="00386B14"/>
    <w:rsid w:val="00390CB8"/>
    <w:rsid w:val="003924AD"/>
    <w:rsid w:val="003935E7"/>
    <w:rsid w:val="003938AD"/>
    <w:rsid w:val="003949A0"/>
    <w:rsid w:val="003949D9"/>
    <w:rsid w:val="00395382"/>
    <w:rsid w:val="003975D1"/>
    <w:rsid w:val="003A1DCA"/>
    <w:rsid w:val="003A3F81"/>
    <w:rsid w:val="003A4AA9"/>
    <w:rsid w:val="003B6FB7"/>
    <w:rsid w:val="003C0031"/>
    <w:rsid w:val="003C4B14"/>
    <w:rsid w:val="003D22BE"/>
    <w:rsid w:val="003D3892"/>
    <w:rsid w:val="003D5FBD"/>
    <w:rsid w:val="003E0FA1"/>
    <w:rsid w:val="003E197D"/>
    <w:rsid w:val="003E4D26"/>
    <w:rsid w:val="003E67F6"/>
    <w:rsid w:val="003E6F32"/>
    <w:rsid w:val="003E75DB"/>
    <w:rsid w:val="003F035F"/>
    <w:rsid w:val="003F07EE"/>
    <w:rsid w:val="003F346A"/>
    <w:rsid w:val="003F3DC0"/>
    <w:rsid w:val="003F4E00"/>
    <w:rsid w:val="0040132B"/>
    <w:rsid w:val="00401ED5"/>
    <w:rsid w:val="00404CD2"/>
    <w:rsid w:val="00413D12"/>
    <w:rsid w:val="00413F00"/>
    <w:rsid w:val="00416841"/>
    <w:rsid w:val="0042419C"/>
    <w:rsid w:val="00424E46"/>
    <w:rsid w:val="0042623B"/>
    <w:rsid w:val="00426573"/>
    <w:rsid w:val="00431143"/>
    <w:rsid w:val="00431E5E"/>
    <w:rsid w:val="004346CC"/>
    <w:rsid w:val="004348DD"/>
    <w:rsid w:val="004353B6"/>
    <w:rsid w:val="004364F8"/>
    <w:rsid w:val="0043660B"/>
    <w:rsid w:val="004367EB"/>
    <w:rsid w:val="00444E6E"/>
    <w:rsid w:val="0044665C"/>
    <w:rsid w:val="004472B9"/>
    <w:rsid w:val="0045110E"/>
    <w:rsid w:val="0045118E"/>
    <w:rsid w:val="004532C0"/>
    <w:rsid w:val="00454D4A"/>
    <w:rsid w:val="004555B0"/>
    <w:rsid w:val="00456977"/>
    <w:rsid w:val="00461CF8"/>
    <w:rsid w:val="00464C57"/>
    <w:rsid w:val="00470559"/>
    <w:rsid w:val="004707F4"/>
    <w:rsid w:val="00471165"/>
    <w:rsid w:val="00471491"/>
    <w:rsid w:val="0047211A"/>
    <w:rsid w:val="0047372A"/>
    <w:rsid w:val="00475787"/>
    <w:rsid w:val="0047619E"/>
    <w:rsid w:val="0047648B"/>
    <w:rsid w:val="00476AC3"/>
    <w:rsid w:val="00476C70"/>
    <w:rsid w:val="00477B8A"/>
    <w:rsid w:val="0048251E"/>
    <w:rsid w:val="0048386A"/>
    <w:rsid w:val="004865D8"/>
    <w:rsid w:val="00486D57"/>
    <w:rsid w:val="004871A2"/>
    <w:rsid w:val="00487765"/>
    <w:rsid w:val="00487976"/>
    <w:rsid w:val="004920E1"/>
    <w:rsid w:val="004929F1"/>
    <w:rsid w:val="004943FA"/>
    <w:rsid w:val="00497BD0"/>
    <w:rsid w:val="004A1D64"/>
    <w:rsid w:val="004A4FBF"/>
    <w:rsid w:val="004A5A4B"/>
    <w:rsid w:val="004A70FB"/>
    <w:rsid w:val="004B0B37"/>
    <w:rsid w:val="004B1D68"/>
    <w:rsid w:val="004B1FEB"/>
    <w:rsid w:val="004B2016"/>
    <w:rsid w:val="004B3AB5"/>
    <w:rsid w:val="004B42A2"/>
    <w:rsid w:val="004B586F"/>
    <w:rsid w:val="004B6DC7"/>
    <w:rsid w:val="004C1E2A"/>
    <w:rsid w:val="004C22A7"/>
    <w:rsid w:val="004C5326"/>
    <w:rsid w:val="004C6680"/>
    <w:rsid w:val="004C66EB"/>
    <w:rsid w:val="004C698F"/>
    <w:rsid w:val="004C6A8F"/>
    <w:rsid w:val="004D10A0"/>
    <w:rsid w:val="004D15AF"/>
    <w:rsid w:val="004D1838"/>
    <w:rsid w:val="004D2852"/>
    <w:rsid w:val="004D3324"/>
    <w:rsid w:val="004D6B79"/>
    <w:rsid w:val="004D7823"/>
    <w:rsid w:val="004E1318"/>
    <w:rsid w:val="004E1A7F"/>
    <w:rsid w:val="004E29D0"/>
    <w:rsid w:val="004E5843"/>
    <w:rsid w:val="004E5AE1"/>
    <w:rsid w:val="004E6EE0"/>
    <w:rsid w:val="004E75E1"/>
    <w:rsid w:val="004F06B5"/>
    <w:rsid w:val="004F137C"/>
    <w:rsid w:val="004F20D5"/>
    <w:rsid w:val="004F2F7D"/>
    <w:rsid w:val="0050002B"/>
    <w:rsid w:val="00503C15"/>
    <w:rsid w:val="0050440C"/>
    <w:rsid w:val="005044C9"/>
    <w:rsid w:val="00506AB5"/>
    <w:rsid w:val="00510111"/>
    <w:rsid w:val="0051192D"/>
    <w:rsid w:val="00512A8D"/>
    <w:rsid w:val="00520377"/>
    <w:rsid w:val="00522289"/>
    <w:rsid w:val="005247DB"/>
    <w:rsid w:val="005301A4"/>
    <w:rsid w:val="00530CD5"/>
    <w:rsid w:val="00532246"/>
    <w:rsid w:val="005326BC"/>
    <w:rsid w:val="00537D0D"/>
    <w:rsid w:val="00542272"/>
    <w:rsid w:val="0054457A"/>
    <w:rsid w:val="005446C4"/>
    <w:rsid w:val="00546778"/>
    <w:rsid w:val="00547928"/>
    <w:rsid w:val="00547F7D"/>
    <w:rsid w:val="005508FC"/>
    <w:rsid w:val="00550C82"/>
    <w:rsid w:val="0055153D"/>
    <w:rsid w:val="00551BE1"/>
    <w:rsid w:val="00552022"/>
    <w:rsid w:val="00554312"/>
    <w:rsid w:val="00556FE4"/>
    <w:rsid w:val="00557574"/>
    <w:rsid w:val="00557DC4"/>
    <w:rsid w:val="005612DB"/>
    <w:rsid w:val="00561662"/>
    <w:rsid w:val="0056259A"/>
    <w:rsid w:val="00563F9B"/>
    <w:rsid w:val="005642F8"/>
    <w:rsid w:val="00565716"/>
    <w:rsid w:val="0057030D"/>
    <w:rsid w:val="00573741"/>
    <w:rsid w:val="00575011"/>
    <w:rsid w:val="00577E7A"/>
    <w:rsid w:val="00581E19"/>
    <w:rsid w:val="005820CE"/>
    <w:rsid w:val="00592ECB"/>
    <w:rsid w:val="005930F6"/>
    <w:rsid w:val="005932C8"/>
    <w:rsid w:val="005935EF"/>
    <w:rsid w:val="005936FC"/>
    <w:rsid w:val="0059546C"/>
    <w:rsid w:val="005A2B79"/>
    <w:rsid w:val="005A3630"/>
    <w:rsid w:val="005A4202"/>
    <w:rsid w:val="005A5DC8"/>
    <w:rsid w:val="005A6710"/>
    <w:rsid w:val="005A6B4C"/>
    <w:rsid w:val="005A7C65"/>
    <w:rsid w:val="005B055A"/>
    <w:rsid w:val="005B0A14"/>
    <w:rsid w:val="005B1594"/>
    <w:rsid w:val="005B623E"/>
    <w:rsid w:val="005B71D0"/>
    <w:rsid w:val="005B7EE4"/>
    <w:rsid w:val="005C1EE7"/>
    <w:rsid w:val="005C5DBD"/>
    <w:rsid w:val="005C750E"/>
    <w:rsid w:val="005C7DD9"/>
    <w:rsid w:val="005D1F0D"/>
    <w:rsid w:val="005D42C2"/>
    <w:rsid w:val="005E2414"/>
    <w:rsid w:val="005E6731"/>
    <w:rsid w:val="005E6822"/>
    <w:rsid w:val="005F03D7"/>
    <w:rsid w:val="005F040F"/>
    <w:rsid w:val="005F4ACC"/>
    <w:rsid w:val="00601211"/>
    <w:rsid w:val="00605887"/>
    <w:rsid w:val="006114BF"/>
    <w:rsid w:val="00611BAF"/>
    <w:rsid w:val="0061267C"/>
    <w:rsid w:val="00614110"/>
    <w:rsid w:val="006155F4"/>
    <w:rsid w:val="0061730E"/>
    <w:rsid w:val="00617EAD"/>
    <w:rsid w:val="00617EB4"/>
    <w:rsid w:val="006203FE"/>
    <w:rsid w:val="00625ACC"/>
    <w:rsid w:val="00625E67"/>
    <w:rsid w:val="00627243"/>
    <w:rsid w:val="00630423"/>
    <w:rsid w:val="00630690"/>
    <w:rsid w:val="00630BFD"/>
    <w:rsid w:val="0063632B"/>
    <w:rsid w:val="0064097C"/>
    <w:rsid w:val="00641F89"/>
    <w:rsid w:val="00642035"/>
    <w:rsid w:val="00642A1A"/>
    <w:rsid w:val="00643A53"/>
    <w:rsid w:val="006456EF"/>
    <w:rsid w:val="00646C50"/>
    <w:rsid w:val="00654F96"/>
    <w:rsid w:val="00655599"/>
    <w:rsid w:val="00655FC2"/>
    <w:rsid w:val="0065637E"/>
    <w:rsid w:val="00657536"/>
    <w:rsid w:val="00661227"/>
    <w:rsid w:val="0066721A"/>
    <w:rsid w:val="00670C30"/>
    <w:rsid w:val="00670DD8"/>
    <w:rsid w:val="0067223F"/>
    <w:rsid w:val="006726FF"/>
    <w:rsid w:val="00673D53"/>
    <w:rsid w:val="00673E5D"/>
    <w:rsid w:val="0067578C"/>
    <w:rsid w:val="00675F36"/>
    <w:rsid w:val="00681D41"/>
    <w:rsid w:val="00685E8F"/>
    <w:rsid w:val="00686AB4"/>
    <w:rsid w:val="00693B9F"/>
    <w:rsid w:val="00693D41"/>
    <w:rsid w:val="00694B47"/>
    <w:rsid w:val="00695B69"/>
    <w:rsid w:val="00696F47"/>
    <w:rsid w:val="006A080C"/>
    <w:rsid w:val="006A2964"/>
    <w:rsid w:val="006A6111"/>
    <w:rsid w:val="006A632C"/>
    <w:rsid w:val="006B2A0A"/>
    <w:rsid w:val="006B4B91"/>
    <w:rsid w:val="006B6762"/>
    <w:rsid w:val="006B73D0"/>
    <w:rsid w:val="006B7A44"/>
    <w:rsid w:val="006B7D18"/>
    <w:rsid w:val="006C44C0"/>
    <w:rsid w:val="006C7F3F"/>
    <w:rsid w:val="006D75A6"/>
    <w:rsid w:val="006D7941"/>
    <w:rsid w:val="006E02C2"/>
    <w:rsid w:val="006E0872"/>
    <w:rsid w:val="006E0B53"/>
    <w:rsid w:val="006E754D"/>
    <w:rsid w:val="006F3A2D"/>
    <w:rsid w:val="006F4778"/>
    <w:rsid w:val="006F5A91"/>
    <w:rsid w:val="006F7521"/>
    <w:rsid w:val="007008DC"/>
    <w:rsid w:val="007112AF"/>
    <w:rsid w:val="00711C66"/>
    <w:rsid w:val="00712461"/>
    <w:rsid w:val="00712CD1"/>
    <w:rsid w:val="007227BD"/>
    <w:rsid w:val="00724B81"/>
    <w:rsid w:val="00727766"/>
    <w:rsid w:val="00730552"/>
    <w:rsid w:val="00730A14"/>
    <w:rsid w:val="00731F49"/>
    <w:rsid w:val="0073269D"/>
    <w:rsid w:val="00732E52"/>
    <w:rsid w:val="0073367F"/>
    <w:rsid w:val="0073666A"/>
    <w:rsid w:val="00737334"/>
    <w:rsid w:val="00741756"/>
    <w:rsid w:val="007441EA"/>
    <w:rsid w:val="007447A4"/>
    <w:rsid w:val="0074605A"/>
    <w:rsid w:val="007461C9"/>
    <w:rsid w:val="0074703D"/>
    <w:rsid w:val="007474ED"/>
    <w:rsid w:val="00751D84"/>
    <w:rsid w:val="00752A26"/>
    <w:rsid w:val="00757805"/>
    <w:rsid w:val="007600A4"/>
    <w:rsid w:val="007613E7"/>
    <w:rsid w:val="00765887"/>
    <w:rsid w:val="00765CC6"/>
    <w:rsid w:val="007677BF"/>
    <w:rsid w:val="00771B60"/>
    <w:rsid w:val="007740A2"/>
    <w:rsid w:val="00774EFC"/>
    <w:rsid w:val="00775B7F"/>
    <w:rsid w:val="0077747C"/>
    <w:rsid w:val="00777C1E"/>
    <w:rsid w:val="00780BD7"/>
    <w:rsid w:val="00783293"/>
    <w:rsid w:val="00785716"/>
    <w:rsid w:val="00787585"/>
    <w:rsid w:val="0079030A"/>
    <w:rsid w:val="00790751"/>
    <w:rsid w:val="00792721"/>
    <w:rsid w:val="00796D66"/>
    <w:rsid w:val="007970CD"/>
    <w:rsid w:val="007A6646"/>
    <w:rsid w:val="007B0269"/>
    <w:rsid w:val="007B1B18"/>
    <w:rsid w:val="007B2C1C"/>
    <w:rsid w:val="007B65DD"/>
    <w:rsid w:val="007B6E9A"/>
    <w:rsid w:val="007B7392"/>
    <w:rsid w:val="007B760C"/>
    <w:rsid w:val="007C042B"/>
    <w:rsid w:val="007C28B7"/>
    <w:rsid w:val="007C3AEC"/>
    <w:rsid w:val="007C3B4E"/>
    <w:rsid w:val="007C5C9D"/>
    <w:rsid w:val="007D540E"/>
    <w:rsid w:val="007D6D17"/>
    <w:rsid w:val="007D7483"/>
    <w:rsid w:val="007E3021"/>
    <w:rsid w:val="007E307D"/>
    <w:rsid w:val="007E55F2"/>
    <w:rsid w:val="007E5C64"/>
    <w:rsid w:val="007E6A00"/>
    <w:rsid w:val="007E7A28"/>
    <w:rsid w:val="007E7DCC"/>
    <w:rsid w:val="007F2053"/>
    <w:rsid w:val="007F3875"/>
    <w:rsid w:val="007F3B9C"/>
    <w:rsid w:val="007F3E8F"/>
    <w:rsid w:val="007F43E0"/>
    <w:rsid w:val="007F72A4"/>
    <w:rsid w:val="007F7601"/>
    <w:rsid w:val="007F7CE1"/>
    <w:rsid w:val="007F7E20"/>
    <w:rsid w:val="007F7EC0"/>
    <w:rsid w:val="008033D6"/>
    <w:rsid w:val="00806E03"/>
    <w:rsid w:val="0081060C"/>
    <w:rsid w:val="00815244"/>
    <w:rsid w:val="008163CD"/>
    <w:rsid w:val="00820510"/>
    <w:rsid w:val="008216D5"/>
    <w:rsid w:val="00822143"/>
    <w:rsid w:val="00823B4E"/>
    <w:rsid w:val="008271E5"/>
    <w:rsid w:val="00830C7C"/>
    <w:rsid w:val="00834B26"/>
    <w:rsid w:val="008368AF"/>
    <w:rsid w:val="00836CBA"/>
    <w:rsid w:val="00840E37"/>
    <w:rsid w:val="00844259"/>
    <w:rsid w:val="00850080"/>
    <w:rsid w:val="00852515"/>
    <w:rsid w:val="00852F06"/>
    <w:rsid w:val="00854951"/>
    <w:rsid w:val="00854C91"/>
    <w:rsid w:val="008606F5"/>
    <w:rsid w:val="00860B72"/>
    <w:rsid w:val="00862CDF"/>
    <w:rsid w:val="00865F40"/>
    <w:rsid w:val="008720A8"/>
    <w:rsid w:val="00872302"/>
    <w:rsid w:val="00872789"/>
    <w:rsid w:val="00872FCB"/>
    <w:rsid w:val="00875373"/>
    <w:rsid w:val="00877C06"/>
    <w:rsid w:val="00877F19"/>
    <w:rsid w:val="00882ACE"/>
    <w:rsid w:val="00884A48"/>
    <w:rsid w:val="008868EC"/>
    <w:rsid w:val="008978F6"/>
    <w:rsid w:val="008A1F55"/>
    <w:rsid w:val="008A43C6"/>
    <w:rsid w:val="008A4F09"/>
    <w:rsid w:val="008A5833"/>
    <w:rsid w:val="008B115A"/>
    <w:rsid w:val="008B317D"/>
    <w:rsid w:val="008B41E1"/>
    <w:rsid w:val="008B42B1"/>
    <w:rsid w:val="008B4DA5"/>
    <w:rsid w:val="008B5133"/>
    <w:rsid w:val="008C06DE"/>
    <w:rsid w:val="008C0B23"/>
    <w:rsid w:val="008C1024"/>
    <w:rsid w:val="008C16C2"/>
    <w:rsid w:val="008C1E50"/>
    <w:rsid w:val="008C2D10"/>
    <w:rsid w:val="008C3079"/>
    <w:rsid w:val="008C3302"/>
    <w:rsid w:val="008C47DE"/>
    <w:rsid w:val="008C4D6A"/>
    <w:rsid w:val="008D38FF"/>
    <w:rsid w:val="008D49DE"/>
    <w:rsid w:val="008D5441"/>
    <w:rsid w:val="008D5B58"/>
    <w:rsid w:val="008D5DC0"/>
    <w:rsid w:val="008D6D6C"/>
    <w:rsid w:val="008E08DA"/>
    <w:rsid w:val="008E3399"/>
    <w:rsid w:val="008F257B"/>
    <w:rsid w:val="008F2C04"/>
    <w:rsid w:val="008F4A28"/>
    <w:rsid w:val="008F5528"/>
    <w:rsid w:val="008F792C"/>
    <w:rsid w:val="00901AD9"/>
    <w:rsid w:val="00901EE2"/>
    <w:rsid w:val="0090306A"/>
    <w:rsid w:val="0090452C"/>
    <w:rsid w:val="00906119"/>
    <w:rsid w:val="009077D7"/>
    <w:rsid w:val="00912E5E"/>
    <w:rsid w:val="00914D6A"/>
    <w:rsid w:val="00920CE2"/>
    <w:rsid w:val="009226E3"/>
    <w:rsid w:val="009230F6"/>
    <w:rsid w:val="00923BDF"/>
    <w:rsid w:val="00925720"/>
    <w:rsid w:val="00926FB7"/>
    <w:rsid w:val="009277B6"/>
    <w:rsid w:val="009313DE"/>
    <w:rsid w:val="00933B11"/>
    <w:rsid w:val="00934900"/>
    <w:rsid w:val="00937856"/>
    <w:rsid w:val="00942679"/>
    <w:rsid w:val="00943AC6"/>
    <w:rsid w:val="00951210"/>
    <w:rsid w:val="009512BC"/>
    <w:rsid w:val="009576DF"/>
    <w:rsid w:val="009603EC"/>
    <w:rsid w:val="00965600"/>
    <w:rsid w:val="00965732"/>
    <w:rsid w:val="00972B13"/>
    <w:rsid w:val="00973A44"/>
    <w:rsid w:val="00974244"/>
    <w:rsid w:val="009764A1"/>
    <w:rsid w:val="00976D2A"/>
    <w:rsid w:val="009821BC"/>
    <w:rsid w:val="00982BA1"/>
    <w:rsid w:val="00983417"/>
    <w:rsid w:val="0098397E"/>
    <w:rsid w:val="00983F0B"/>
    <w:rsid w:val="00984062"/>
    <w:rsid w:val="009846D1"/>
    <w:rsid w:val="00985371"/>
    <w:rsid w:val="0098756F"/>
    <w:rsid w:val="0099019C"/>
    <w:rsid w:val="00993599"/>
    <w:rsid w:val="0099369E"/>
    <w:rsid w:val="0099754F"/>
    <w:rsid w:val="009A0601"/>
    <w:rsid w:val="009A15B6"/>
    <w:rsid w:val="009A35E1"/>
    <w:rsid w:val="009A4FF6"/>
    <w:rsid w:val="009A6311"/>
    <w:rsid w:val="009A6476"/>
    <w:rsid w:val="009A7B2B"/>
    <w:rsid w:val="009B54F6"/>
    <w:rsid w:val="009B5DE0"/>
    <w:rsid w:val="009B622D"/>
    <w:rsid w:val="009C1D12"/>
    <w:rsid w:val="009C2A3E"/>
    <w:rsid w:val="009C680E"/>
    <w:rsid w:val="009C7B15"/>
    <w:rsid w:val="009D1BE4"/>
    <w:rsid w:val="009D333F"/>
    <w:rsid w:val="009D6B8E"/>
    <w:rsid w:val="009E005C"/>
    <w:rsid w:val="009E044B"/>
    <w:rsid w:val="009E4ADB"/>
    <w:rsid w:val="009E6BF4"/>
    <w:rsid w:val="009E6BFA"/>
    <w:rsid w:val="009F3F53"/>
    <w:rsid w:val="009F4435"/>
    <w:rsid w:val="009F5ADE"/>
    <w:rsid w:val="009F61B6"/>
    <w:rsid w:val="009F7196"/>
    <w:rsid w:val="00A01E7A"/>
    <w:rsid w:val="00A02638"/>
    <w:rsid w:val="00A02CEF"/>
    <w:rsid w:val="00A0369E"/>
    <w:rsid w:val="00A04284"/>
    <w:rsid w:val="00A05173"/>
    <w:rsid w:val="00A0582E"/>
    <w:rsid w:val="00A103A3"/>
    <w:rsid w:val="00A11B67"/>
    <w:rsid w:val="00A12378"/>
    <w:rsid w:val="00A139C5"/>
    <w:rsid w:val="00A15069"/>
    <w:rsid w:val="00A166E0"/>
    <w:rsid w:val="00A17086"/>
    <w:rsid w:val="00A17E62"/>
    <w:rsid w:val="00A2046A"/>
    <w:rsid w:val="00A231AE"/>
    <w:rsid w:val="00A27281"/>
    <w:rsid w:val="00A311F5"/>
    <w:rsid w:val="00A320B9"/>
    <w:rsid w:val="00A321A5"/>
    <w:rsid w:val="00A33EEC"/>
    <w:rsid w:val="00A33FC6"/>
    <w:rsid w:val="00A3486C"/>
    <w:rsid w:val="00A36F4E"/>
    <w:rsid w:val="00A44608"/>
    <w:rsid w:val="00A45EF0"/>
    <w:rsid w:val="00A476AF"/>
    <w:rsid w:val="00A558E9"/>
    <w:rsid w:val="00A56250"/>
    <w:rsid w:val="00A563CC"/>
    <w:rsid w:val="00A602D4"/>
    <w:rsid w:val="00A62B71"/>
    <w:rsid w:val="00A6313F"/>
    <w:rsid w:val="00A66871"/>
    <w:rsid w:val="00A66B09"/>
    <w:rsid w:val="00A71F00"/>
    <w:rsid w:val="00A721AF"/>
    <w:rsid w:val="00A73C26"/>
    <w:rsid w:val="00A751E4"/>
    <w:rsid w:val="00A75F25"/>
    <w:rsid w:val="00A76597"/>
    <w:rsid w:val="00A76638"/>
    <w:rsid w:val="00A77478"/>
    <w:rsid w:val="00A819E0"/>
    <w:rsid w:val="00A8437A"/>
    <w:rsid w:val="00A84C81"/>
    <w:rsid w:val="00A85D7C"/>
    <w:rsid w:val="00A907E2"/>
    <w:rsid w:val="00A908D7"/>
    <w:rsid w:val="00A90A05"/>
    <w:rsid w:val="00A961D7"/>
    <w:rsid w:val="00A976AE"/>
    <w:rsid w:val="00A97C46"/>
    <w:rsid w:val="00AA00E6"/>
    <w:rsid w:val="00AA499C"/>
    <w:rsid w:val="00AA4F69"/>
    <w:rsid w:val="00AA7AE6"/>
    <w:rsid w:val="00AA7CCE"/>
    <w:rsid w:val="00AB03CE"/>
    <w:rsid w:val="00AB1A1D"/>
    <w:rsid w:val="00AB1D64"/>
    <w:rsid w:val="00AB278E"/>
    <w:rsid w:val="00AB4B3A"/>
    <w:rsid w:val="00AB789B"/>
    <w:rsid w:val="00AB7A07"/>
    <w:rsid w:val="00AC25FA"/>
    <w:rsid w:val="00AC49AE"/>
    <w:rsid w:val="00AC5AD3"/>
    <w:rsid w:val="00AC6BA5"/>
    <w:rsid w:val="00AD187F"/>
    <w:rsid w:val="00AD2035"/>
    <w:rsid w:val="00AD2C40"/>
    <w:rsid w:val="00AD3A0E"/>
    <w:rsid w:val="00AD4712"/>
    <w:rsid w:val="00AD560C"/>
    <w:rsid w:val="00AD560F"/>
    <w:rsid w:val="00AD70E6"/>
    <w:rsid w:val="00AE1E99"/>
    <w:rsid w:val="00AE28B0"/>
    <w:rsid w:val="00AE4652"/>
    <w:rsid w:val="00AF10B3"/>
    <w:rsid w:val="00AF1CF6"/>
    <w:rsid w:val="00AF2BA9"/>
    <w:rsid w:val="00AF2E13"/>
    <w:rsid w:val="00AF64E4"/>
    <w:rsid w:val="00B00D42"/>
    <w:rsid w:val="00B013EB"/>
    <w:rsid w:val="00B015A5"/>
    <w:rsid w:val="00B03D84"/>
    <w:rsid w:val="00B04339"/>
    <w:rsid w:val="00B04BF1"/>
    <w:rsid w:val="00B10317"/>
    <w:rsid w:val="00B120E4"/>
    <w:rsid w:val="00B14549"/>
    <w:rsid w:val="00B17039"/>
    <w:rsid w:val="00B20C01"/>
    <w:rsid w:val="00B216C9"/>
    <w:rsid w:val="00B24682"/>
    <w:rsid w:val="00B24A3D"/>
    <w:rsid w:val="00B25E3C"/>
    <w:rsid w:val="00B270CD"/>
    <w:rsid w:val="00B30ABC"/>
    <w:rsid w:val="00B30B12"/>
    <w:rsid w:val="00B30D43"/>
    <w:rsid w:val="00B30F42"/>
    <w:rsid w:val="00B324A2"/>
    <w:rsid w:val="00B336F5"/>
    <w:rsid w:val="00B354C0"/>
    <w:rsid w:val="00B365E3"/>
    <w:rsid w:val="00B42AE7"/>
    <w:rsid w:val="00B43B53"/>
    <w:rsid w:val="00B4405F"/>
    <w:rsid w:val="00B45DD3"/>
    <w:rsid w:val="00B47638"/>
    <w:rsid w:val="00B51D1F"/>
    <w:rsid w:val="00B54101"/>
    <w:rsid w:val="00B554DD"/>
    <w:rsid w:val="00B5629D"/>
    <w:rsid w:val="00B56476"/>
    <w:rsid w:val="00B676FA"/>
    <w:rsid w:val="00B67F0E"/>
    <w:rsid w:val="00B72C6F"/>
    <w:rsid w:val="00B736C5"/>
    <w:rsid w:val="00B75F8F"/>
    <w:rsid w:val="00B76C1E"/>
    <w:rsid w:val="00B77FC3"/>
    <w:rsid w:val="00B832B8"/>
    <w:rsid w:val="00B841D5"/>
    <w:rsid w:val="00B8421C"/>
    <w:rsid w:val="00B84B2C"/>
    <w:rsid w:val="00B8576A"/>
    <w:rsid w:val="00B85A69"/>
    <w:rsid w:val="00B8646A"/>
    <w:rsid w:val="00B9328D"/>
    <w:rsid w:val="00B945A3"/>
    <w:rsid w:val="00B96943"/>
    <w:rsid w:val="00BA2A01"/>
    <w:rsid w:val="00BA2B4C"/>
    <w:rsid w:val="00BA30E9"/>
    <w:rsid w:val="00BA3DA2"/>
    <w:rsid w:val="00BA6168"/>
    <w:rsid w:val="00BA6C0B"/>
    <w:rsid w:val="00BA7AA4"/>
    <w:rsid w:val="00BB1A35"/>
    <w:rsid w:val="00BB5095"/>
    <w:rsid w:val="00BB512D"/>
    <w:rsid w:val="00BB634C"/>
    <w:rsid w:val="00BC173C"/>
    <w:rsid w:val="00BC1B8A"/>
    <w:rsid w:val="00BC3113"/>
    <w:rsid w:val="00BC3CBD"/>
    <w:rsid w:val="00BC42D3"/>
    <w:rsid w:val="00BC6060"/>
    <w:rsid w:val="00BC7687"/>
    <w:rsid w:val="00BC7F3E"/>
    <w:rsid w:val="00BD03B6"/>
    <w:rsid w:val="00BD1C9A"/>
    <w:rsid w:val="00BD28B2"/>
    <w:rsid w:val="00BD3315"/>
    <w:rsid w:val="00BD380D"/>
    <w:rsid w:val="00BD59E7"/>
    <w:rsid w:val="00BE2E30"/>
    <w:rsid w:val="00BF0F07"/>
    <w:rsid w:val="00BF66FA"/>
    <w:rsid w:val="00BF74BC"/>
    <w:rsid w:val="00BF77C7"/>
    <w:rsid w:val="00C01017"/>
    <w:rsid w:val="00C01A9B"/>
    <w:rsid w:val="00C03862"/>
    <w:rsid w:val="00C047FC"/>
    <w:rsid w:val="00C07F2C"/>
    <w:rsid w:val="00C13DF6"/>
    <w:rsid w:val="00C15805"/>
    <w:rsid w:val="00C159B3"/>
    <w:rsid w:val="00C17D26"/>
    <w:rsid w:val="00C2038B"/>
    <w:rsid w:val="00C20ABE"/>
    <w:rsid w:val="00C27B2A"/>
    <w:rsid w:val="00C3010E"/>
    <w:rsid w:val="00C3032E"/>
    <w:rsid w:val="00C32AD5"/>
    <w:rsid w:val="00C35001"/>
    <w:rsid w:val="00C35EF2"/>
    <w:rsid w:val="00C37FFB"/>
    <w:rsid w:val="00C4149A"/>
    <w:rsid w:val="00C41A05"/>
    <w:rsid w:val="00C41CE0"/>
    <w:rsid w:val="00C437E1"/>
    <w:rsid w:val="00C43B94"/>
    <w:rsid w:val="00C43BA1"/>
    <w:rsid w:val="00C50AD2"/>
    <w:rsid w:val="00C54FED"/>
    <w:rsid w:val="00C5509C"/>
    <w:rsid w:val="00C55B0C"/>
    <w:rsid w:val="00C578E3"/>
    <w:rsid w:val="00C65F79"/>
    <w:rsid w:val="00C70D9D"/>
    <w:rsid w:val="00C72B2C"/>
    <w:rsid w:val="00C73994"/>
    <w:rsid w:val="00C7529F"/>
    <w:rsid w:val="00C82412"/>
    <w:rsid w:val="00C8316A"/>
    <w:rsid w:val="00C85EFF"/>
    <w:rsid w:val="00C86AA8"/>
    <w:rsid w:val="00C86FF3"/>
    <w:rsid w:val="00C92350"/>
    <w:rsid w:val="00C96378"/>
    <w:rsid w:val="00C964AA"/>
    <w:rsid w:val="00CA025F"/>
    <w:rsid w:val="00CA081E"/>
    <w:rsid w:val="00CA116E"/>
    <w:rsid w:val="00CA25A2"/>
    <w:rsid w:val="00CA2CEC"/>
    <w:rsid w:val="00CA2FCC"/>
    <w:rsid w:val="00CA4BC3"/>
    <w:rsid w:val="00CA67D4"/>
    <w:rsid w:val="00CB18DF"/>
    <w:rsid w:val="00CB20E0"/>
    <w:rsid w:val="00CB2410"/>
    <w:rsid w:val="00CB2D96"/>
    <w:rsid w:val="00CB4F62"/>
    <w:rsid w:val="00CB606E"/>
    <w:rsid w:val="00CC1260"/>
    <w:rsid w:val="00CC2C32"/>
    <w:rsid w:val="00CC6A5F"/>
    <w:rsid w:val="00CD1CBA"/>
    <w:rsid w:val="00CD358B"/>
    <w:rsid w:val="00CD472D"/>
    <w:rsid w:val="00CE3416"/>
    <w:rsid w:val="00CE778B"/>
    <w:rsid w:val="00CF0F4D"/>
    <w:rsid w:val="00CF150D"/>
    <w:rsid w:val="00CF2F43"/>
    <w:rsid w:val="00CF3069"/>
    <w:rsid w:val="00CF5E83"/>
    <w:rsid w:val="00CF6840"/>
    <w:rsid w:val="00CF6F5C"/>
    <w:rsid w:val="00CF7CD3"/>
    <w:rsid w:val="00D0097D"/>
    <w:rsid w:val="00D00D2B"/>
    <w:rsid w:val="00D00F63"/>
    <w:rsid w:val="00D01FFB"/>
    <w:rsid w:val="00D04666"/>
    <w:rsid w:val="00D05B6D"/>
    <w:rsid w:val="00D077CB"/>
    <w:rsid w:val="00D10952"/>
    <w:rsid w:val="00D10AC0"/>
    <w:rsid w:val="00D130FC"/>
    <w:rsid w:val="00D2040D"/>
    <w:rsid w:val="00D22E28"/>
    <w:rsid w:val="00D25241"/>
    <w:rsid w:val="00D254BE"/>
    <w:rsid w:val="00D2695D"/>
    <w:rsid w:val="00D27E2B"/>
    <w:rsid w:val="00D3008D"/>
    <w:rsid w:val="00D30BF6"/>
    <w:rsid w:val="00D36A0F"/>
    <w:rsid w:val="00D37F90"/>
    <w:rsid w:val="00D4140F"/>
    <w:rsid w:val="00D439EA"/>
    <w:rsid w:val="00D46174"/>
    <w:rsid w:val="00D471CF"/>
    <w:rsid w:val="00D5164C"/>
    <w:rsid w:val="00D55585"/>
    <w:rsid w:val="00D55A13"/>
    <w:rsid w:val="00D563A6"/>
    <w:rsid w:val="00D563E7"/>
    <w:rsid w:val="00D604A6"/>
    <w:rsid w:val="00D61540"/>
    <w:rsid w:val="00D62081"/>
    <w:rsid w:val="00D63D34"/>
    <w:rsid w:val="00D6474E"/>
    <w:rsid w:val="00D6571E"/>
    <w:rsid w:val="00D6737A"/>
    <w:rsid w:val="00D70378"/>
    <w:rsid w:val="00D74468"/>
    <w:rsid w:val="00D766C9"/>
    <w:rsid w:val="00D80BE8"/>
    <w:rsid w:val="00D80E63"/>
    <w:rsid w:val="00D840CF"/>
    <w:rsid w:val="00D8475C"/>
    <w:rsid w:val="00D86AEF"/>
    <w:rsid w:val="00D87272"/>
    <w:rsid w:val="00D9104D"/>
    <w:rsid w:val="00D91CAD"/>
    <w:rsid w:val="00D93D77"/>
    <w:rsid w:val="00D95FA5"/>
    <w:rsid w:val="00D962E8"/>
    <w:rsid w:val="00DA2352"/>
    <w:rsid w:val="00DA24E1"/>
    <w:rsid w:val="00DA57E4"/>
    <w:rsid w:val="00DA69CB"/>
    <w:rsid w:val="00DA69F8"/>
    <w:rsid w:val="00DB030B"/>
    <w:rsid w:val="00DB0C3A"/>
    <w:rsid w:val="00DB1553"/>
    <w:rsid w:val="00DB2D5E"/>
    <w:rsid w:val="00DB745A"/>
    <w:rsid w:val="00DC0E93"/>
    <w:rsid w:val="00DC37E3"/>
    <w:rsid w:val="00DC4D30"/>
    <w:rsid w:val="00DC4F96"/>
    <w:rsid w:val="00DC7210"/>
    <w:rsid w:val="00DC7FA2"/>
    <w:rsid w:val="00DD2D47"/>
    <w:rsid w:val="00DD38A8"/>
    <w:rsid w:val="00DD5F9D"/>
    <w:rsid w:val="00DD6459"/>
    <w:rsid w:val="00DD78D5"/>
    <w:rsid w:val="00DD7F51"/>
    <w:rsid w:val="00DE097C"/>
    <w:rsid w:val="00DE2EED"/>
    <w:rsid w:val="00DE3725"/>
    <w:rsid w:val="00DE4DA5"/>
    <w:rsid w:val="00DE4DF8"/>
    <w:rsid w:val="00DE52F7"/>
    <w:rsid w:val="00DE61D5"/>
    <w:rsid w:val="00DE63A4"/>
    <w:rsid w:val="00DE7654"/>
    <w:rsid w:val="00DF207F"/>
    <w:rsid w:val="00DF2571"/>
    <w:rsid w:val="00DF4070"/>
    <w:rsid w:val="00DF6CE3"/>
    <w:rsid w:val="00DF7761"/>
    <w:rsid w:val="00E013F5"/>
    <w:rsid w:val="00E109E0"/>
    <w:rsid w:val="00E10A02"/>
    <w:rsid w:val="00E142C0"/>
    <w:rsid w:val="00E1696A"/>
    <w:rsid w:val="00E214B2"/>
    <w:rsid w:val="00E22931"/>
    <w:rsid w:val="00E233D1"/>
    <w:rsid w:val="00E24758"/>
    <w:rsid w:val="00E2645C"/>
    <w:rsid w:val="00E30C51"/>
    <w:rsid w:val="00E3274C"/>
    <w:rsid w:val="00E32879"/>
    <w:rsid w:val="00E34566"/>
    <w:rsid w:val="00E34CF1"/>
    <w:rsid w:val="00E364F0"/>
    <w:rsid w:val="00E36ECD"/>
    <w:rsid w:val="00E36F61"/>
    <w:rsid w:val="00E410FE"/>
    <w:rsid w:val="00E41598"/>
    <w:rsid w:val="00E44E11"/>
    <w:rsid w:val="00E451B1"/>
    <w:rsid w:val="00E52B19"/>
    <w:rsid w:val="00E52EBE"/>
    <w:rsid w:val="00E55374"/>
    <w:rsid w:val="00E56892"/>
    <w:rsid w:val="00E61A3F"/>
    <w:rsid w:val="00E62FAD"/>
    <w:rsid w:val="00E63EA5"/>
    <w:rsid w:val="00E657D4"/>
    <w:rsid w:val="00E707AA"/>
    <w:rsid w:val="00E708CD"/>
    <w:rsid w:val="00E712C5"/>
    <w:rsid w:val="00E71BA0"/>
    <w:rsid w:val="00E71D1F"/>
    <w:rsid w:val="00E73EF6"/>
    <w:rsid w:val="00E73F39"/>
    <w:rsid w:val="00E75286"/>
    <w:rsid w:val="00E75A87"/>
    <w:rsid w:val="00E82089"/>
    <w:rsid w:val="00E820B2"/>
    <w:rsid w:val="00E83CE0"/>
    <w:rsid w:val="00E8487C"/>
    <w:rsid w:val="00E9364E"/>
    <w:rsid w:val="00E93A4C"/>
    <w:rsid w:val="00E944BB"/>
    <w:rsid w:val="00EA0E46"/>
    <w:rsid w:val="00EA20EC"/>
    <w:rsid w:val="00EA6028"/>
    <w:rsid w:val="00EA6222"/>
    <w:rsid w:val="00EA7CC5"/>
    <w:rsid w:val="00EB04D3"/>
    <w:rsid w:val="00EB228B"/>
    <w:rsid w:val="00EB63F1"/>
    <w:rsid w:val="00EB75BC"/>
    <w:rsid w:val="00EC09BA"/>
    <w:rsid w:val="00EC0C7B"/>
    <w:rsid w:val="00EC30B3"/>
    <w:rsid w:val="00EC3BF6"/>
    <w:rsid w:val="00EC3F21"/>
    <w:rsid w:val="00EC6622"/>
    <w:rsid w:val="00ED0CB2"/>
    <w:rsid w:val="00ED5C0F"/>
    <w:rsid w:val="00EE0211"/>
    <w:rsid w:val="00EE0C9A"/>
    <w:rsid w:val="00EE1076"/>
    <w:rsid w:val="00EE163F"/>
    <w:rsid w:val="00EE25AF"/>
    <w:rsid w:val="00EE3E09"/>
    <w:rsid w:val="00EE62C6"/>
    <w:rsid w:val="00EE6A49"/>
    <w:rsid w:val="00EE74CA"/>
    <w:rsid w:val="00EE7E33"/>
    <w:rsid w:val="00EE7F00"/>
    <w:rsid w:val="00EF4864"/>
    <w:rsid w:val="00EF530E"/>
    <w:rsid w:val="00EF59C3"/>
    <w:rsid w:val="00EF5C64"/>
    <w:rsid w:val="00EF6E0F"/>
    <w:rsid w:val="00F0047E"/>
    <w:rsid w:val="00F105D8"/>
    <w:rsid w:val="00F116D2"/>
    <w:rsid w:val="00F12B16"/>
    <w:rsid w:val="00F12D35"/>
    <w:rsid w:val="00F12FB6"/>
    <w:rsid w:val="00F15546"/>
    <w:rsid w:val="00F170F4"/>
    <w:rsid w:val="00F27806"/>
    <w:rsid w:val="00F367E0"/>
    <w:rsid w:val="00F377A7"/>
    <w:rsid w:val="00F41B30"/>
    <w:rsid w:val="00F4288A"/>
    <w:rsid w:val="00F446EB"/>
    <w:rsid w:val="00F447BC"/>
    <w:rsid w:val="00F50051"/>
    <w:rsid w:val="00F500EA"/>
    <w:rsid w:val="00F50795"/>
    <w:rsid w:val="00F56098"/>
    <w:rsid w:val="00F57D09"/>
    <w:rsid w:val="00F60E88"/>
    <w:rsid w:val="00F621B6"/>
    <w:rsid w:val="00F63991"/>
    <w:rsid w:val="00F63F28"/>
    <w:rsid w:val="00F66048"/>
    <w:rsid w:val="00F7009A"/>
    <w:rsid w:val="00F72422"/>
    <w:rsid w:val="00F75B78"/>
    <w:rsid w:val="00F7678E"/>
    <w:rsid w:val="00F76EF3"/>
    <w:rsid w:val="00F77E01"/>
    <w:rsid w:val="00F83199"/>
    <w:rsid w:val="00F85EAF"/>
    <w:rsid w:val="00F8613A"/>
    <w:rsid w:val="00F864E6"/>
    <w:rsid w:val="00F87718"/>
    <w:rsid w:val="00F90339"/>
    <w:rsid w:val="00F90626"/>
    <w:rsid w:val="00F92780"/>
    <w:rsid w:val="00F932B8"/>
    <w:rsid w:val="00F9334D"/>
    <w:rsid w:val="00F948FE"/>
    <w:rsid w:val="00F95C2F"/>
    <w:rsid w:val="00F963F9"/>
    <w:rsid w:val="00FA0E2B"/>
    <w:rsid w:val="00FA1D03"/>
    <w:rsid w:val="00FA29EF"/>
    <w:rsid w:val="00FA31D9"/>
    <w:rsid w:val="00FA5BD3"/>
    <w:rsid w:val="00FA6AD5"/>
    <w:rsid w:val="00FA7636"/>
    <w:rsid w:val="00FB053A"/>
    <w:rsid w:val="00FB253D"/>
    <w:rsid w:val="00FB6AD0"/>
    <w:rsid w:val="00FC0EF3"/>
    <w:rsid w:val="00FC2397"/>
    <w:rsid w:val="00FC2984"/>
    <w:rsid w:val="00FC3415"/>
    <w:rsid w:val="00FC349E"/>
    <w:rsid w:val="00FC5C33"/>
    <w:rsid w:val="00FC5D85"/>
    <w:rsid w:val="00FC6217"/>
    <w:rsid w:val="00FC6B3E"/>
    <w:rsid w:val="00FC787F"/>
    <w:rsid w:val="00FC79DF"/>
    <w:rsid w:val="00FC7CE7"/>
    <w:rsid w:val="00FD3D73"/>
    <w:rsid w:val="00FE2E8B"/>
    <w:rsid w:val="00FE5888"/>
    <w:rsid w:val="00FE7B55"/>
    <w:rsid w:val="00FF0015"/>
    <w:rsid w:val="00FF120D"/>
    <w:rsid w:val="00FF1C02"/>
    <w:rsid w:val="00FF26CF"/>
    <w:rsid w:val="00FF3851"/>
    <w:rsid w:val="00FF6079"/>
    <w:rsid w:val="00FF67BD"/>
    <w:rsid w:val="00FF7E0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BD6E6D"/>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4C0"/>
    <w:pPr>
      <w:spacing w:after="160" w:line="300" w:lineRule="atLeast"/>
      <w:jc w:val="both"/>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8A4F0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A4F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44C0"/>
    <w:pPr>
      <w:spacing w:before="100" w:beforeAutospacing="1" w:after="100" w:afterAutospacing="1" w:line="240" w:lineRule="auto"/>
      <w:jc w:val="left"/>
    </w:pPr>
    <w:rPr>
      <w:rFonts w:ascii="Times" w:eastAsiaTheme="minorEastAsia" w:hAnsi="Times"/>
      <w:sz w:val="20"/>
    </w:rPr>
  </w:style>
  <w:style w:type="paragraph" w:styleId="BalloonText">
    <w:name w:val="Balloon Text"/>
    <w:basedOn w:val="Normal"/>
    <w:link w:val="BalloonTextChar"/>
    <w:uiPriority w:val="99"/>
    <w:semiHidden/>
    <w:unhideWhenUsed/>
    <w:rsid w:val="00711C6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1C66"/>
    <w:rPr>
      <w:rFonts w:ascii="Lucida Grande" w:eastAsia="Times New Roman" w:hAnsi="Lucida Grande" w:cs="Lucida Grande"/>
      <w:sz w:val="18"/>
      <w:szCs w:val="18"/>
    </w:rPr>
  </w:style>
  <w:style w:type="character" w:customStyle="1" w:styleId="Heading2Char">
    <w:name w:val="Heading 2 Char"/>
    <w:basedOn w:val="DefaultParagraphFont"/>
    <w:link w:val="Heading2"/>
    <w:uiPriority w:val="9"/>
    <w:rsid w:val="008A4F0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A4F09"/>
    <w:rPr>
      <w:rFonts w:asciiTheme="majorHAnsi" w:eastAsiaTheme="majorEastAsia" w:hAnsiTheme="majorHAnsi" w:cstheme="majorBidi"/>
      <w:b/>
      <w:bCs/>
      <w:color w:val="345A8A" w:themeColor="accent1" w:themeShade="B5"/>
      <w:sz w:val="32"/>
      <w:szCs w:val="32"/>
    </w:rPr>
  </w:style>
  <w:style w:type="paragraph" w:styleId="FootnoteText">
    <w:name w:val="footnote text"/>
    <w:basedOn w:val="Normal"/>
    <w:link w:val="FootnoteTextChar"/>
    <w:uiPriority w:val="99"/>
    <w:unhideWhenUsed/>
    <w:rsid w:val="001E0FDA"/>
    <w:pPr>
      <w:spacing w:after="0" w:line="240" w:lineRule="auto"/>
    </w:pPr>
    <w:rPr>
      <w:szCs w:val="24"/>
    </w:rPr>
  </w:style>
  <w:style w:type="character" w:customStyle="1" w:styleId="FootnoteTextChar">
    <w:name w:val="Footnote Text Char"/>
    <w:basedOn w:val="DefaultParagraphFont"/>
    <w:link w:val="FootnoteText"/>
    <w:uiPriority w:val="99"/>
    <w:rsid w:val="001E0FDA"/>
    <w:rPr>
      <w:rFonts w:ascii="Times New Roman" w:eastAsia="Times New Roman" w:hAnsi="Times New Roman" w:cs="Times New Roman"/>
    </w:rPr>
  </w:style>
  <w:style w:type="character" w:styleId="FootnoteReference">
    <w:name w:val="footnote reference"/>
    <w:basedOn w:val="DefaultParagraphFont"/>
    <w:uiPriority w:val="99"/>
    <w:unhideWhenUsed/>
    <w:rsid w:val="001E0FDA"/>
    <w:rPr>
      <w:vertAlign w:val="superscript"/>
    </w:rPr>
  </w:style>
  <w:style w:type="character" w:styleId="Hyperlink">
    <w:name w:val="Hyperlink"/>
    <w:basedOn w:val="DefaultParagraphFont"/>
    <w:uiPriority w:val="99"/>
    <w:unhideWhenUsed/>
    <w:rsid w:val="00D00D2B"/>
    <w:rPr>
      <w:color w:val="0000FF" w:themeColor="hyperlink"/>
      <w:u w:val="single"/>
    </w:rPr>
  </w:style>
  <w:style w:type="table" w:styleId="TableGrid">
    <w:name w:val="Table Grid"/>
    <w:basedOn w:val="TableNormal"/>
    <w:uiPriority w:val="39"/>
    <w:rsid w:val="00D00D2B"/>
    <w:rPr>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F77C7"/>
  </w:style>
  <w:style w:type="character" w:customStyle="1" w:styleId="nlmstring-name">
    <w:name w:val="nlm_string-name"/>
    <w:basedOn w:val="DefaultParagraphFont"/>
    <w:rsid w:val="00EA6222"/>
  </w:style>
  <w:style w:type="character" w:customStyle="1" w:styleId="nlmyear">
    <w:name w:val="nlm_year"/>
    <w:basedOn w:val="DefaultParagraphFont"/>
    <w:rsid w:val="00EA6222"/>
  </w:style>
  <w:style w:type="character" w:customStyle="1" w:styleId="nlmpublisher-loc">
    <w:name w:val="nlm_publisher-loc"/>
    <w:basedOn w:val="DefaultParagraphFont"/>
    <w:rsid w:val="00EA6222"/>
  </w:style>
  <w:style w:type="character" w:customStyle="1" w:styleId="nlmpublisher-name">
    <w:name w:val="nlm_publisher-name"/>
    <w:basedOn w:val="DefaultParagraphFont"/>
    <w:rsid w:val="00EA6222"/>
  </w:style>
  <w:style w:type="character" w:customStyle="1" w:styleId="smallcaps">
    <w:name w:val="smallcaps"/>
    <w:basedOn w:val="DefaultParagraphFont"/>
    <w:rsid w:val="00A139C5"/>
  </w:style>
  <w:style w:type="paragraph" w:styleId="Header">
    <w:name w:val="header"/>
    <w:basedOn w:val="Normal"/>
    <w:link w:val="HeaderChar"/>
    <w:uiPriority w:val="99"/>
    <w:unhideWhenUsed/>
    <w:rsid w:val="00A13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9C5"/>
    <w:rPr>
      <w:rFonts w:ascii="Times New Roman" w:eastAsia="Times New Roman" w:hAnsi="Times New Roman" w:cs="Times New Roman"/>
      <w:szCs w:val="20"/>
    </w:rPr>
  </w:style>
  <w:style w:type="paragraph" w:styleId="Footer">
    <w:name w:val="footer"/>
    <w:basedOn w:val="Normal"/>
    <w:link w:val="FooterChar"/>
    <w:uiPriority w:val="99"/>
    <w:unhideWhenUsed/>
    <w:rsid w:val="00A13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9C5"/>
    <w:rPr>
      <w:rFonts w:ascii="Times New Roman" w:eastAsia="Times New Roman" w:hAnsi="Times New Roman" w:cs="Times New Roman"/>
      <w:szCs w:val="20"/>
    </w:rPr>
  </w:style>
  <w:style w:type="paragraph" w:styleId="PlainText">
    <w:name w:val="Plain Text"/>
    <w:basedOn w:val="Normal"/>
    <w:link w:val="PlainTextChar"/>
    <w:uiPriority w:val="99"/>
    <w:unhideWhenUsed/>
    <w:rsid w:val="00774EFC"/>
    <w:pPr>
      <w:spacing w:after="0" w:line="240" w:lineRule="auto"/>
      <w:jc w:val="left"/>
    </w:pPr>
    <w:rPr>
      <w:rFonts w:ascii="Courier" w:eastAsia="Cambria" w:hAnsi="Courier"/>
      <w:sz w:val="21"/>
      <w:szCs w:val="21"/>
      <w:lang w:val="en-US" w:eastAsia="en-US"/>
    </w:rPr>
  </w:style>
  <w:style w:type="character" w:customStyle="1" w:styleId="PlainTextChar">
    <w:name w:val="Plain Text Char"/>
    <w:basedOn w:val="DefaultParagraphFont"/>
    <w:link w:val="PlainText"/>
    <w:uiPriority w:val="99"/>
    <w:rsid w:val="00774EFC"/>
    <w:rPr>
      <w:rFonts w:ascii="Courier" w:eastAsia="Cambria" w:hAnsi="Courier" w:cs="Times New Roman"/>
      <w:sz w:val="21"/>
      <w:szCs w:val="21"/>
      <w:lang w:val="en-US" w:eastAsia="en-US"/>
    </w:rPr>
  </w:style>
  <w:style w:type="paragraph" w:styleId="Revision">
    <w:name w:val="Revision"/>
    <w:hidden/>
    <w:uiPriority w:val="99"/>
    <w:semiHidden/>
    <w:rsid w:val="001D20CC"/>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A04284"/>
    <w:rPr>
      <w:sz w:val="16"/>
      <w:szCs w:val="16"/>
    </w:rPr>
  </w:style>
  <w:style w:type="paragraph" w:styleId="CommentText">
    <w:name w:val="annotation text"/>
    <w:basedOn w:val="Normal"/>
    <w:link w:val="CommentTextChar"/>
    <w:uiPriority w:val="99"/>
    <w:semiHidden/>
    <w:unhideWhenUsed/>
    <w:rsid w:val="00A04284"/>
    <w:pPr>
      <w:spacing w:line="240" w:lineRule="auto"/>
    </w:pPr>
    <w:rPr>
      <w:sz w:val="20"/>
    </w:rPr>
  </w:style>
  <w:style w:type="character" w:customStyle="1" w:styleId="CommentTextChar">
    <w:name w:val="Comment Text Char"/>
    <w:basedOn w:val="DefaultParagraphFont"/>
    <w:link w:val="CommentText"/>
    <w:uiPriority w:val="99"/>
    <w:semiHidden/>
    <w:rsid w:val="00A042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4284"/>
    <w:rPr>
      <w:b/>
      <w:bCs/>
    </w:rPr>
  </w:style>
  <w:style w:type="character" w:customStyle="1" w:styleId="CommentSubjectChar">
    <w:name w:val="Comment Subject Char"/>
    <w:basedOn w:val="CommentTextChar"/>
    <w:link w:val="CommentSubject"/>
    <w:uiPriority w:val="99"/>
    <w:semiHidden/>
    <w:rsid w:val="00A0428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4B3AB5"/>
    <w:pPr>
      <w:spacing w:after="0" w:line="240" w:lineRule="auto"/>
    </w:pPr>
    <w:rPr>
      <w:sz w:val="20"/>
    </w:rPr>
  </w:style>
  <w:style w:type="character" w:customStyle="1" w:styleId="EndnoteTextChar">
    <w:name w:val="Endnote Text Char"/>
    <w:basedOn w:val="DefaultParagraphFont"/>
    <w:link w:val="EndnoteText"/>
    <w:uiPriority w:val="99"/>
    <w:semiHidden/>
    <w:rsid w:val="004B3AB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B3AB5"/>
    <w:rPr>
      <w:vertAlign w:val="superscript"/>
    </w:rPr>
  </w:style>
  <w:style w:type="paragraph" w:styleId="ListParagraph">
    <w:name w:val="List Paragraph"/>
    <w:basedOn w:val="Normal"/>
    <w:uiPriority w:val="34"/>
    <w:qFormat/>
    <w:rsid w:val="005E68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4C0"/>
    <w:pPr>
      <w:spacing w:after="160" w:line="300" w:lineRule="atLeast"/>
      <w:jc w:val="both"/>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8A4F0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A4F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44C0"/>
    <w:pPr>
      <w:spacing w:before="100" w:beforeAutospacing="1" w:after="100" w:afterAutospacing="1" w:line="240" w:lineRule="auto"/>
      <w:jc w:val="left"/>
    </w:pPr>
    <w:rPr>
      <w:rFonts w:ascii="Times" w:eastAsiaTheme="minorEastAsia" w:hAnsi="Times"/>
      <w:sz w:val="20"/>
    </w:rPr>
  </w:style>
  <w:style w:type="paragraph" w:styleId="BalloonText">
    <w:name w:val="Balloon Text"/>
    <w:basedOn w:val="Normal"/>
    <w:link w:val="BalloonTextChar"/>
    <w:uiPriority w:val="99"/>
    <w:semiHidden/>
    <w:unhideWhenUsed/>
    <w:rsid w:val="00711C6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1C66"/>
    <w:rPr>
      <w:rFonts w:ascii="Lucida Grande" w:eastAsia="Times New Roman" w:hAnsi="Lucida Grande" w:cs="Lucida Grande"/>
      <w:sz w:val="18"/>
      <w:szCs w:val="18"/>
    </w:rPr>
  </w:style>
  <w:style w:type="character" w:customStyle="1" w:styleId="Heading2Char">
    <w:name w:val="Heading 2 Char"/>
    <w:basedOn w:val="DefaultParagraphFont"/>
    <w:link w:val="Heading2"/>
    <w:uiPriority w:val="9"/>
    <w:rsid w:val="008A4F0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A4F09"/>
    <w:rPr>
      <w:rFonts w:asciiTheme="majorHAnsi" w:eastAsiaTheme="majorEastAsia" w:hAnsiTheme="majorHAnsi" w:cstheme="majorBidi"/>
      <w:b/>
      <w:bCs/>
      <w:color w:val="345A8A" w:themeColor="accent1" w:themeShade="B5"/>
      <w:sz w:val="32"/>
      <w:szCs w:val="32"/>
    </w:rPr>
  </w:style>
  <w:style w:type="paragraph" w:styleId="FootnoteText">
    <w:name w:val="footnote text"/>
    <w:basedOn w:val="Normal"/>
    <w:link w:val="FootnoteTextChar"/>
    <w:uiPriority w:val="99"/>
    <w:unhideWhenUsed/>
    <w:rsid w:val="001E0FDA"/>
    <w:pPr>
      <w:spacing w:after="0" w:line="240" w:lineRule="auto"/>
    </w:pPr>
    <w:rPr>
      <w:szCs w:val="24"/>
    </w:rPr>
  </w:style>
  <w:style w:type="character" w:customStyle="1" w:styleId="FootnoteTextChar">
    <w:name w:val="Footnote Text Char"/>
    <w:basedOn w:val="DefaultParagraphFont"/>
    <w:link w:val="FootnoteText"/>
    <w:uiPriority w:val="99"/>
    <w:rsid w:val="001E0FDA"/>
    <w:rPr>
      <w:rFonts w:ascii="Times New Roman" w:eastAsia="Times New Roman" w:hAnsi="Times New Roman" w:cs="Times New Roman"/>
    </w:rPr>
  </w:style>
  <w:style w:type="character" w:styleId="FootnoteReference">
    <w:name w:val="footnote reference"/>
    <w:basedOn w:val="DefaultParagraphFont"/>
    <w:uiPriority w:val="99"/>
    <w:unhideWhenUsed/>
    <w:rsid w:val="001E0FDA"/>
    <w:rPr>
      <w:vertAlign w:val="superscript"/>
    </w:rPr>
  </w:style>
  <w:style w:type="character" w:styleId="Hyperlink">
    <w:name w:val="Hyperlink"/>
    <w:basedOn w:val="DefaultParagraphFont"/>
    <w:uiPriority w:val="99"/>
    <w:unhideWhenUsed/>
    <w:rsid w:val="00D00D2B"/>
    <w:rPr>
      <w:color w:val="0000FF" w:themeColor="hyperlink"/>
      <w:u w:val="single"/>
    </w:rPr>
  </w:style>
  <w:style w:type="table" w:styleId="TableGrid">
    <w:name w:val="Table Grid"/>
    <w:basedOn w:val="TableNormal"/>
    <w:uiPriority w:val="39"/>
    <w:rsid w:val="00D00D2B"/>
    <w:rPr>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F77C7"/>
  </w:style>
  <w:style w:type="character" w:customStyle="1" w:styleId="nlmstring-name">
    <w:name w:val="nlm_string-name"/>
    <w:basedOn w:val="DefaultParagraphFont"/>
    <w:rsid w:val="00EA6222"/>
  </w:style>
  <w:style w:type="character" w:customStyle="1" w:styleId="nlmyear">
    <w:name w:val="nlm_year"/>
    <w:basedOn w:val="DefaultParagraphFont"/>
    <w:rsid w:val="00EA6222"/>
  </w:style>
  <w:style w:type="character" w:customStyle="1" w:styleId="nlmpublisher-loc">
    <w:name w:val="nlm_publisher-loc"/>
    <w:basedOn w:val="DefaultParagraphFont"/>
    <w:rsid w:val="00EA6222"/>
  </w:style>
  <w:style w:type="character" w:customStyle="1" w:styleId="nlmpublisher-name">
    <w:name w:val="nlm_publisher-name"/>
    <w:basedOn w:val="DefaultParagraphFont"/>
    <w:rsid w:val="00EA6222"/>
  </w:style>
  <w:style w:type="character" w:customStyle="1" w:styleId="smallcaps">
    <w:name w:val="smallcaps"/>
    <w:basedOn w:val="DefaultParagraphFont"/>
    <w:rsid w:val="00A139C5"/>
  </w:style>
  <w:style w:type="paragraph" w:styleId="Header">
    <w:name w:val="header"/>
    <w:basedOn w:val="Normal"/>
    <w:link w:val="HeaderChar"/>
    <w:uiPriority w:val="99"/>
    <w:unhideWhenUsed/>
    <w:rsid w:val="00A13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9C5"/>
    <w:rPr>
      <w:rFonts w:ascii="Times New Roman" w:eastAsia="Times New Roman" w:hAnsi="Times New Roman" w:cs="Times New Roman"/>
      <w:szCs w:val="20"/>
    </w:rPr>
  </w:style>
  <w:style w:type="paragraph" w:styleId="Footer">
    <w:name w:val="footer"/>
    <w:basedOn w:val="Normal"/>
    <w:link w:val="FooterChar"/>
    <w:uiPriority w:val="99"/>
    <w:unhideWhenUsed/>
    <w:rsid w:val="00A13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9C5"/>
    <w:rPr>
      <w:rFonts w:ascii="Times New Roman" w:eastAsia="Times New Roman" w:hAnsi="Times New Roman" w:cs="Times New Roman"/>
      <w:szCs w:val="20"/>
    </w:rPr>
  </w:style>
  <w:style w:type="paragraph" w:styleId="PlainText">
    <w:name w:val="Plain Text"/>
    <w:basedOn w:val="Normal"/>
    <w:link w:val="PlainTextChar"/>
    <w:uiPriority w:val="99"/>
    <w:unhideWhenUsed/>
    <w:rsid w:val="00774EFC"/>
    <w:pPr>
      <w:spacing w:after="0" w:line="240" w:lineRule="auto"/>
      <w:jc w:val="left"/>
    </w:pPr>
    <w:rPr>
      <w:rFonts w:ascii="Courier" w:eastAsia="Cambria" w:hAnsi="Courier"/>
      <w:sz w:val="21"/>
      <w:szCs w:val="21"/>
      <w:lang w:val="en-US" w:eastAsia="en-US"/>
    </w:rPr>
  </w:style>
  <w:style w:type="character" w:customStyle="1" w:styleId="PlainTextChar">
    <w:name w:val="Plain Text Char"/>
    <w:basedOn w:val="DefaultParagraphFont"/>
    <w:link w:val="PlainText"/>
    <w:uiPriority w:val="99"/>
    <w:rsid w:val="00774EFC"/>
    <w:rPr>
      <w:rFonts w:ascii="Courier" w:eastAsia="Cambria" w:hAnsi="Courier" w:cs="Times New Roman"/>
      <w:sz w:val="21"/>
      <w:szCs w:val="21"/>
      <w:lang w:val="en-US" w:eastAsia="en-US"/>
    </w:rPr>
  </w:style>
  <w:style w:type="paragraph" w:styleId="Revision">
    <w:name w:val="Revision"/>
    <w:hidden/>
    <w:uiPriority w:val="99"/>
    <w:semiHidden/>
    <w:rsid w:val="001D20CC"/>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A04284"/>
    <w:rPr>
      <w:sz w:val="16"/>
      <w:szCs w:val="16"/>
    </w:rPr>
  </w:style>
  <w:style w:type="paragraph" w:styleId="CommentText">
    <w:name w:val="annotation text"/>
    <w:basedOn w:val="Normal"/>
    <w:link w:val="CommentTextChar"/>
    <w:uiPriority w:val="99"/>
    <w:semiHidden/>
    <w:unhideWhenUsed/>
    <w:rsid w:val="00A04284"/>
    <w:pPr>
      <w:spacing w:line="240" w:lineRule="auto"/>
    </w:pPr>
    <w:rPr>
      <w:sz w:val="20"/>
    </w:rPr>
  </w:style>
  <w:style w:type="character" w:customStyle="1" w:styleId="CommentTextChar">
    <w:name w:val="Comment Text Char"/>
    <w:basedOn w:val="DefaultParagraphFont"/>
    <w:link w:val="CommentText"/>
    <w:uiPriority w:val="99"/>
    <w:semiHidden/>
    <w:rsid w:val="00A042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4284"/>
    <w:rPr>
      <w:b/>
      <w:bCs/>
    </w:rPr>
  </w:style>
  <w:style w:type="character" w:customStyle="1" w:styleId="CommentSubjectChar">
    <w:name w:val="Comment Subject Char"/>
    <w:basedOn w:val="CommentTextChar"/>
    <w:link w:val="CommentSubject"/>
    <w:uiPriority w:val="99"/>
    <w:semiHidden/>
    <w:rsid w:val="00A0428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4B3AB5"/>
    <w:pPr>
      <w:spacing w:after="0" w:line="240" w:lineRule="auto"/>
    </w:pPr>
    <w:rPr>
      <w:sz w:val="20"/>
    </w:rPr>
  </w:style>
  <w:style w:type="character" w:customStyle="1" w:styleId="EndnoteTextChar">
    <w:name w:val="Endnote Text Char"/>
    <w:basedOn w:val="DefaultParagraphFont"/>
    <w:link w:val="EndnoteText"/>
    <w:uiPriority w:val="99"/>
    <w:semiHidden/>
    <w:rsid w:val="004B3AB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B3AB5"/>
    <w:rPr>
      <w:vertAlign w:val="superscript"/>
    </w:rPr>
  </w:style>
  <w:style w:type="paragraph" w:styleId="ListParagraph">
    <w:name w:val="List Paragraph"/>
    <w:basedOn w:val="Normal"/>
    <w:uiPriority w:val="34"/>
    <w:qFormat/>
    <w:rsid w:val="005E6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4209">
      <w:bodyDiv w:val="1"/>
      <w:marLeft w:val="0"/>
      <w:marRight w:val="0"/>
      <w:marTop w:val="0"/>
      <w:marBottom w:val="0"/>
      <w:divBdr>
        <w:top w:val="none" w:sz="0" w:space="0" w:color="auto"/>
        <w:left w:val="none" w:sz="0" w:space="0" w:color="auto"/>
        <w:bottom w:val="none" w:sz="0" w:space="0" w:color="auto"/>
        <w:right w:val="none" w:sz="0" w:space="0" w:color="auto"/>
      </w:divBdr>
    </w:div>
    <w:div w:id="984432746">
      <w:bodyDiv w:val="1"/>
      <w:marLeft w:val="0"/>
      <w:marRight w:val="0"/>
      <w:marTop w:val="0"/>
      <w:marBottom w:val="0"/>
      <w:divBdr>
        <w:top w:val="none" w:sz="0" w:space="0" w:color="auto"/>
        <w:left w:val="none" w:sz="0" w:space="0" w:color="auto"/>
        <w:bottom w:val="none" w:sz="0" w:space="0" w:color="auto"/>
        <w:right w:val="none" w:sz="0" w:space="0" w:color="auto"/>
      </w:divBdr>
      <w:divsChild>
        <w:div w:id="1902866659">
          <w:marLeft w:val="0"/>
          <w:marRight w:val="0"/>
          <w:marTop w:val="0"/>
          <w:marBottom w:val="0"/>
          <w:divBdr>
            <w:top w:val="none" w:sz="0" w:space="0" w:color="auto"/>
            <w:left w:val="none" w:sz="0" w:space="0" w:color="auto"/>
            <w:bottom w:val="none" w:sz="0" w:space="0" w:color="auto"/>
            <w:right w:val="none" w:sz="0" w:space="0" w:color="auto"/>
          </w:divBdr>
        </w:div>
        <w:div w:id="1860505212">
          <w:marLeft w:val="0"/>
          <w:marRight w:val="0"/>
          <w:marTop w:val="0"/>
          <w:marBottom w:val="0"/>
          <w:divBdr>
            <w:top w:val="none" w:sz="0" w:space="0" w:color="auto"/>
            <w:left w:val="none" w:sz="0" w:space="0" w:color="auto"/>
            <w:bottom w:val="none" w:sz="0" w:space="0" w:color="auto"/>
            <w:right w:val="none" w:sz="0" w:space="0" w:color="auto"/>
          </w:divBdr>
        </w:div>
      </w:divsChild>
    </w:div>
    <w:div w:id="1507018587">
      <w:bodyDiv w:val="1"/>
      <w:marLeft w:val="0"/>
      <w:marRight w:val="0"/>
      <w:marTop w:val="0"/>
      <w:marBottom w:val="0"/>
      <w:divBdr>
        <w:top w:val="none" w:sz="0" w:space="0" w:color="auto"/>
        <w:left w:val="none" w:sz="0" w:space="0" w:color="auto"/>
        <w:bottom w:val="none" w:sz="0" w:space="0" w:color="auto"/>
        <w:right w:val="none" w:sz="0" w:space="0" w:color="auto"/>
      </w:divBdr>
    </w:div>
    <w:div w:id="17571654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rodriguez-pose@lse.ac.uk" TargetMode="External"/><Relationship Id="rId4" Type="http://schemas.microsoft.com/office/2007/relationships/stylesWithEffects" Target="stylesWithEffects.xml"/><Relationship Id="rId9" Type="http://schemas.openxmlformats.org/officeDocument/2006/relationships/hyperlink" Target="mailto:rune.d.fitjar@uis.no"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FIL03\emp02\2907990\P7252411%20Regional%20Innovation%20Cultures\CIS-analyser\descriptive%20data%20collaboration%20scal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03\emp02\2907990\P7252411%20Regional%20Innovation%20Cultures\CIS-analyser\descriptive%20data%20collaboration%20sca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2006</c:v>
                </c:pt>
              </c:strCache>
            </c:strRef>
          </c:tx>
          <c:spPr>
            <a:solidFill>
              <a:schemeClr val="accent1"/>
            </a:solidFill>
            <a:ln>
              <a:noFill/>
            </a:ln>
            <a:effectLst/>
          </c:spPr>
          <c:invertIfNegative val="0"/>
          <c:cat>
            <c:strRef>
              <c:f>Sheet1!$A$2:$A$6</c:f>
              <c:strCache>
                <c:ptCount val="5"/>
                <c:pt idx="0">
                  <c:v>Product innovation</c:v>
                </c:pt>
                <c:pt idx="1">
                  <c:v>New-to-market innovation</c:v>
                </c:pt>
                <c:pt idx="2">
                  <c:v>Process innovation</c:v>
                </c:pt>
                <c:pt idx="3">
                  <c:v>Organisational innovation</c:v>
                </c:pt>
                <c:pt idx="4">
                  <c:v>Marketing innovation</c:v>
                </c:pt>
              </c:strCache>
            </c:strRef>
          </c:cat>
          <c:val>
            <c:numRef>
              <c:f>Sheet1!$B$2:$B$6</c:f>
              <c:numCache>
                <c:formatCode>General</c:formatCode>
                <c:ptCount val="5"/>
                <c:pt idx="0">
                  <c:v>25.3</c:v>
                </c:pt>
                <c:pt idx="1">
                  <c:v>14.8</c:v>
                </c:pt>
                <c:pt idx="2">
                  <c:v>20.04</c:v>
                </c:pt>
                <c:pt idx="3">
                  <c:v>34.5</c:v>
                </c:pt>
                <c:pt idx="4">
                  <c:v>24.98</c:v>
                </c:pt>
              </c:numCache>
            </c:numRef>
          </c:val>
          <c:extLst xmlns:c16r2="http://schemas.microsoft.com/office/drawing/2015/06/chart">
            <c:ext xmlns:c16="http://schemas.microsoft.com/office/drawing/2014/chart" uri="{C3380CC4-5D6E-409C-BE32-E72D297353CC}">
              <c16:uniqueId val="{00000000-BF6F-4445-BC1B-1BD522850B1D}"/>
            </c:ext>
          </c:extLst>
        </c:ser>
        <c:ser>
          <c:idx val="1"/>
          <c:order val="1"/>
          <c:tx>
            <c:strRef>
              <c:f>Sheet1!$C$1</c:f>
              <c:strCache>
                <c:ptCount val="1"/>
                <c:pt idx="0">
                  <c:v>2008</c:v>
                </c:pt>
              </c:strCache>
            </c:strRef>
          </c:tx>
          <c:spPr>
            <a:solidFill>
              <a:schemeClr val="accent3"/>
            </a:solidFill>
            <a:ln>
              <a:noFill/>
            </a:ln>
            <a:effectLst/>
          </c:spPr>
          <c:invertIfNegative val="0"/>
          <c:cat>
            <c:strRef>
              <c:f>Sheet1!$A$2:$A$6</c:f>
              <c:strCache>
                <c:ptCount val="5"/>
                <c:pt idx="0">
                  <c:v>Product innovation</c:v>
                </c:pt>
                <c:pt idx="1">
                  <c:v>New-to-market innovation</c:v>
                </c:pt>
                <c:pt idx="2">
                  <c:v>Process innovation</c:v>
                </c:pt>
                <c:pt idx="3">
                  <c:v>Organisational innovation</c:v>
                </c:pt>
                <c:pt idx="4">
                  <c:v>Marketing innovation</c:v>
                </c:pt>
              </c:strCache>
            </c:strRef>
          </c:cat>
          <c:val>
            <c:numRef>
              <c:f>Sheet1!$C$2:$C$6</c:f>
              <c:numCache>
                <c:formatCode>General</c:formatCode>
                <c:ptCount val="5"/>
                <c:pt idx="0">
                  <c:v>24.8</c:v>
                </c:pt>
                <c:pt idx="1">
                  <c:v>12.12</c:v>
                </c:pt>
                <c:pt idx="2">
                  <c:v>20.64</c:v>
                </c:pt>
                <c:pt idx="3">
                  <c:v>23.96</c:v>
                </c:pt>
                <c:pt idx="4">
                  <c:v>22.96</c:v>
                </c:pt>
              </c:numCache>
            </c:numRef>
          </c:val>
          <c:extLst xmlns:c16r2="http://schemas.microsoft.com/office/drawing/2015/06/chart">
            <c:ext xmlns:c16="http://schemas.microsoft.com/office/drawing/2014/chart" uri="{C3380CC4-5D6E-409C-BE32-E72D297353CC}">
              <c16:uniqueId val="{00000001-BF6F-4445-BC1B-1BD522850B1D}"/>
            </c:ext>
          </c:extLst>
        </c:ser>
        <c:ser>
          <c:idx val="2"/>
          <c:order val="2"/>
          <c:tx>
            <c:strRef>
              <c:f>Sheet1!$D$1</c:f>
              <c:strCache>
                <c:ptCount val="1"/>
                <c:pt idx="0">
                  <c:v>2010</c:v>
                </c:pt>
              </c:strCache>
            </c:strRef>
          </c:tx>
          <c:spPr>
            <a:solidFill>
              <a:schemeClr val="accent5"/>
            </a:solidFill>
            <a:ln>
              <a:noFill/>
            </a:ln>
            <a:effectLst/>
          </c:spPr>
          <c:invertIfNegative val="0"/>
          <c:cat>
            <c:strRef>
              <c:f>Sheet1!$A$2:$A$6</c:f>
              <c:strCache>
                <c:ptCount val="5"/>
                <c:pt idx="0">
                  <c:v>Product innovation</c:v>
                </c:pt>
                <c:pt idx="1">
                  <c:v>New-to-market innovation</c:v>
                </c:pt>
                <c:pt idx="2">
                  <c:v>Process innovation</c:v>
                </c:pt>
                <c:pt idx="3">
                  <c:v>Organisational innovation</c:v>
                </c:pt>
                <c:pt idx="4">
                  <c:v>Marketing innovation</c:v>
                </c:pt>
              </c:strCache>
            </c:strRef>
          </c:cat>
          <c:val>
            <c:numRef>
              <c:f>Sheet1!$D$2:$D$6</c:f>
              <c:numCache>
                <c:formatCode>General</c:formatCode>
                <c:ptCount val="5"/>
                <c:pt idx="0">
                  <c:v>22.26</c:v>
                </c:pt>
                <c:pt idx="1">
                  <c:v>17.850000000000001</c:v>
                </c:pt>
                <c:pt idx="2">
                  <c:v>16.27</c:v>
                </c:pt>
                <c:pt idx="3">
                  <c:v>23.21</c:v>
                </c:pt>
                <c:pt idx="4">
                  <c:v>22</c:v>
                </c:pt>
              </c:numCache>
            </c:numRef>
          </c:val>
          <c:extLst xmlns:c16r2="http://schemas.microsoft.com/office/drawing/2015/06/chart">
            <c:ext xmlns:c16="http://schemas.microsoft.com/office/drawing/2014/chart" uri="{C3380CC4-5D6E-409C-BE32-E72D297353CC}">
              <c16:uniqueId val="{00000002-BF6F-4445-BC1B-1BD522850B1D}"/>
            </c:ext>
          </c:extLst>
        </c:ser>
        <c:dLbls>
          <c:showLegendKey val="0"/>
          <c:showVal val="0"/>
          <c:showCatName val="0"/>
          <c:showSerName val="0"/>
          <c:showPercent val="0"/>
          <c:showBubbleSize val="0"/>
        </c:dLbls>
        <c:gapWidth val="219"/>
        <c:overlap val="-27"/>
        <c:axId val="774846976"/>
        <c:axId val="683322752"/>
      </c:barChart>
      <c:catAx>
        <c:axId val="774846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83322752"/>
        <c:crosses val="autoZero"/>
        <c:auto val="1"/>
        <c:lblAlgn val="ctr"/>
        <c:lblOffset val="100"/>
        <c:noMultiLvlLbl val="0"/>
      </c:catAx>
      <c:valAx>
        <c:axId val="683322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846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a:noFill/>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Sheet1!$B$22</c:f>
              <c:strCache>
                <c:ptCount val="1"/>
                <c:pt idx="0">
                  <c:v>2006</c:v>
                </c:pt>
              </c:strCache>
            </c:strRef>
          </c:tx>
          <c:spPr>
            <a:solidFill>
              <a:schemeClr val="accent1"/>
            </a:solidFill>
            <a:ln>
              <a:noFill/>
            </a:ln>
            <a:effectLst/>
          </c:spPr>
          <c:invertIfNegative val="0"/>
          <c:cat>
            <c:strRef>
              <c:f>Sheet1!$A$23:$A$25</c:f>
              <c:strCache>
                <c:ptCount val="3"/>
                <c:pt idx="0">
                  <c:v>Regional</c:v>
                </c:pt>
                <c:pt idx="1">
                  <c:v>National</c:v>
                </c:pt>
                <c:pt idx="2">
                  <c:v>International</c:v>
                </c:pt>
              </c:strCache>
            </c:strRef>
          </c:cat>
          <c:val>
            <c:numRef>
              <c:f>Sheet1!$B$23:$B$25</c:f>
              <c:numCache>
                <c:formatCode>General</c:formatCode>
                <c:ptCount val="3"/>
                <c:pt idx="0">
                  <c:v>0.32532749999999999</c:v>
                </c:pt>
                <c:pt idx="1">
                  <c:v>0.30645660000000002</c:v>
                </c:pt>
                <c:pt idx="2">
                  <c:v>0.24828449999999999</c:v>
                </c:pt>
              </c:numCache>
            </c:numRef>
          </c:val>
          <c:extLst xmlns:c16r2="http://schemas.microsoft.com/office/drawing/2015/06/chart">
            <c:ext xmlns:c16="http://schemas.microsoft.com/office/drawing/2014/chart" uri="{C3380CC4-5D6E-409C-BE32-E72D297353CC}">
              <c16:uniqueId val="{00000000-200F-4235-B620-31F699293978}"/>
            </c:ext>
          </c:extLst>
        </c:ser>
        <c:ser>
          <c:idx val="1"/>
          <c:order val="1"/>
          <c:tx>
            <c:strRef>
              <c:f>Sheet1!$C$22</c:f>
              <c:strCache>
                <c:ptCount val="1"/>
                <c:pt idx="0">
                  <c:v>2008</c:v>
                </c:pt>
              </c:strCache>
            </c:strRef>
          </c:tx>
          <c:spPr>
            <a:solidFill>
              <a:schemeClr val="accent3"/>
            </a:solidFill>
            <a:ln>
              <a:noFill/>
            </a:ln>
            <a:effectLst/>
          </c:spPr>
          <c:invertIfNegative val="0"/>
          <c:cat>
            <c:strRef>
              <c:f>Sheet1!$A$23:$A$25</c:f>
              <c:strCache>
                <c:ptCount val="3"/>
                <c:pt idx="0">
                  <c:v>Regional</c:v>
                </c:pt>
                <c:pt idx="1">
                  <c:v>National</c:v>
                </c:pt>
                <c:pt idx="2">
                  <c:v>International</c:v>
                </c:pt>
              </c:strCache>
            </c:strRef>
          </c:cat>
          <c:val>
            <c:numRef>
              <c:f>Sheet1!$C$23:$C$25</c:f>
              <c:numCache>
                <c:formatCode>General</c:formatCode>
                <c:ptCount val="3"/>
                <c:pt idx="0">
                  <c:v>0.22224079999999999</c:v>
                </c:pt>
                <c:pt idx="1">
                  <c:v>0.23294309999999999</c:v>
                </c:pt>
                <c:pt idx="2">
                  <c:v>0.19949829999999999</c:v>
                </c:pt>
              </c:numCache>
            </c:numRef>
          </c:val>
          <c:extLst xmlns:c16r2="http://schemas.microsoft.com/office/drawing/2015/06/chart">
            <c:ext xmlns:c16="http://schemas.microsoft.com/office/drawing/2014/chart" uri="{C3380CC4-5D6E-409C-BE32-E72D297353CC}">
              <c16:uniqueId val="{00000001-200F-4235-B620-31F699293978}"/>
            </c:ext>
          </c:extLst>
        </c:ser>
        <c:ser>
          <c:idx val="2"/>
          <c:order val="2"/>
          <c:tx>
            <c:strRef>
              <c:f>Sheet1!$D$22</c:f>
              <c:strCache>
                <c:ptCount val="1"/>
                <c:pt idx="0">
                  <c:v>2010</c:v>
                </c:pt>
              </c:strCache>
            </c:strRef>
          </c:tx>
          <c:spPr>
            <a:solidFill>
              <a:schemeClr val="accent5"/>
            </a:solidFill>
            <a:ln>
              <a:noFill/>
            </a:ln>
            <a:effectLst/>
          </c:spPr>
          <c:invertIfNegative val="0"/>
          <c:cat>
            <c:strRef>
              <c:f>Sheet1!$A$23:$A$25</c:f>
              <c:strCache>
                <c:ptCount val="3"/>
                <c:pt idx="0">
                  <c:v>Regional</c:v>
                </c:pt>
                <c:pt idx="1">
                  <c:v>National</c:v>
                </c:pt>
                <c:pt idx="2">
                  <c:v>International</c:v>
                </c:pt>
              </c:strCache>
            </c:strRef>
          </c:cat>
          <c:val>
            <c:numRef>
              <c:f>Sheet1!$D$23:$D$25</c:f>
              <c:numCache>
                <c:formatCode>General</c:formatCode>
                <c:ptCount val="3"/>
                <c:pt idx="0">
                  <c:v>0.21096139999999999</c:v>
                </c:pt>
                <c:pt idx="1">
                  <c:v>0.20789959999999999</c:v>
                </c:pt>
                <c:pt idx="2">
                  <c:v>0.1928965</c:v>
                </c:pt>
              </c:numCache>
            </c:numRef>
          </c:val>
          <c:extLst xmlns:c16r2="http://schemas.microsoft.com/office/drawing/2015/06/chart">
            <c:ext xmlns:c16="http://schemas.microsoft.com/office/drawing/2014/chart" uri="{C3380CC4-5D6E-409C-BE32-E72D297353CC}">
              <c16:uniqueId val="{00000002-200F-4235-B620-31F699293978}"/>
            </c:ext>
          </c:extLst>
        </c:ser>
        <c:dLbls>
          <c:showLegendKey val="0"/>
          <c:showVal val="0"/>
          <c:showCatName val="0"/>
          <c:showSerName val="0"/>
          <c:showPercent val="0"/>
          <c:showBubbleSize val="0"/>
        </c:dLbls>
        <c:gapWidth val="219"/>
        <c:overlap val="-27"/>
        <c:axId val="815470592"/>
        <c:axId val="684704896"/>
      </c:barChart>
      <c:catAx>
        <c:axId val="81547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84704896"/>
        <c:crosses val="autoZero"/>
        <c:auto val="1"/>
        <c:lblAlgn val="ctr"/>
        <c:lblOffset val="100"/>
        <c:noMultiLvlLbl val="0"/>
      </c:catAx>
      <c:valAx>
        <c:axId val="684704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5470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a:noFill/>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348CF-883F-43CC-ACB0-390810B05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55</Pages>
  <Words>12881</Words>
  <Characters>73426</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Universitet i Stavanger</Company>
  <LinksUpToDate>false</LinksUpToDate>
  <CharactersWithSpaces>86135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Rune Dahl Fitjar</dc:creator>
  <cp:lastModifiedBy>Andrés</cp:lastModifiedBy>
  <cp:revision>4</cp:revision>
  <cp:lastPrinted>2019-06-17T11:22:00Z</cp:lastPrinted>
  <dcterms:created xsi:type="dcterms:W3CDTF">2019-08-06T21:49:00Z</dcterms:created>
  <dcterms:modified xsi:type="dcterms:W3CDTF">2019-08-06T22:14:00Z</dcterms:modified>
</cp:coreProperties>
</file>